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6E592B" w14:textId="6652F8D1" w:rsidR="00B81FDF" w:rsidRPr="002B58A3" w:rsidRDefault="00B81FDF" w:rsidP="00B81FDF">
      <w:pPr>
        <w:pStyle w:val="Ttulodoprojeto"/>
      </w:pPr>
      <w:r w:rsidRPr="004928F1">
        <w:t xml:space="preserve">Alvenaria Estrutural Com Junta Fina de Composto Polimérico </w:t>
      </w:r>
      <w:r w:rsidRPr="00402D51">
        <w:t xml:space="preserve">– Parte </w:t>
      </w:r>
      <w:r w:rsidR="003900B2">
        <w:t>2</w:t>
      </w:r>
      <w:r w:rsidRPr="00402D51">
        <w:t xml:space="preserve">: </w:t>
      </w:r>
      <w:r w:rsidR="003900B2" w:rsidRPr="003900B2">
        <w:t>Execução e Controle de Obras</w:t>
      </w:r>
    </w:p>
    <w:p w14:paraId="34ACDFC4" w14:textId="587E313E" w:rsidR="00B81FDF" w:rsidRPr="000A1294" w:rsidRDefault="003900B2" w:rsidP="00B81FDF">
      <w:pPr>
        <w:pStyle w:val="Ttulodoprojeto"/>
        <w:rPr>
          <w:rFonts w:cs="Arial"/>
          <w:lang w:val="en-US"/>
        </w:rPr>
      </w:pPr>
      <w:r w:rsidRPr="003900B2">
        <w:rPr>
          <w:rFonts w:cs="Arial"/>
          <w:b w:val="0"/>
          <w:i/>
          <w:iCs/>
          <w:sz w:val="24"/>
          <w:szCs w:val="20"/>
          <w:lang w:val="en-US"/>
        </w:rPr>
        <w:t>Structural Masonry With Thin Joints of Polymeric Compound – Part 2: Execution and site control</w:t>
      </w:r>
    </w:p>
    <w:p w14:paraId="671122DD" w14:textId="77777777" w:rsidR="00B81FDF" w:rsidRPr="002B58A3" w:rsidRDefault="00B81FDF" w:rsidP="00B81FDF">
      <w:pPr>
        <w:pStyle w:val="APRESENTAO"/>
      </w:pPr>
      <w:r w:rsidRPr="002B58A3">
        <w:t>APRESENTAÇÃO</w:t>
      </w:r>
    </w:p>
    <w:p w14:paraId="17736F20" w14:textId="28C6E6E0" w:rsidR="00B81FDF" w:rsidRPr="002B58A3" w:rsidRDefault="00B81FDF" w:rsidP="00B81FDF">
      <w:pPr>
        <w:pStyle w:val="Tpicosdaapresentao"/>
        <w:widowControl w:val="0"/>
        <w:spacing w:after="0"/>
      </w:pPr>
      <w:r w:rsidRPr="002B58A3">
        <w:t xml:space="preserve">Este </w:t>
      </w:r>
      <w:r>
        <w:t>Texto-Base</w:t>
      </w:r>
      <w:r w:rsidRPr="002B58A3">
        <w:t xml:space="preserve"> foi elaborado pela </w:t>
      </w:r>
      <w:r w:rsidRPr="00BB0932">
        <w:rPr>
          <w:rFonts w:cs="Arial"/>
        </w:rPr>
        <w:t xml:space="preserve">Comissão de Estudo de Alvenaria Estrutural (CE-002:123.010) do Comitê Brasileiro da Construção Civil (ABNT/CB-002), com número de </w:t>
      </w:r>
      <w:r w:rsidRPr="00AA44DA">
        <w:rPr>
          <w:rFonts w:cs="Arial"/>
          <w:highlight w:val="yellow"/>
        </w:rPr>
        <w:t xml:space="preserve">Texto-Base </w:t>
      </w:r>
      <w:r w:rsidRPr="00AA44DA">
        <w:rPr>
          <w:bCs/>
          <w:caps/>
          <w:highlight w:val="yellow"/>
          <w:lang w:eastAsia="en-CA"/>
        </w:rPr>
        <w:t>002:123.010-002</w:t>
      </w:r>
      <w:r w:rsidR="0022164C">
        <w:rPr>
          <w:rFonts w:cs="Arial"/>
          <w:bCs/>
          <w:highlight w:val="yellow"/>
        </w:rPr>
        <w:t>-</w:t>
      </w:r>
      <w:r w:rsidR="00AA44DA" w:rsidRPr="00AA44DA">
        <w:rPr>
          <w:rFonts w:cs="Arial"/>
          <w:highlight w:val="yellow"/>
        </w:rPr>
        <w:t>2</w:t>
      </w:r>
      <w:r w:rsidRPr="00AA44DA">
        <w:rPr>
          <w:rFonts w:cs="Arial"/>
          <w:highlight w:val="yellow"/>
        </w:rPr>
        <w:t>,</w:t>
      </w:r>
      <w:r w:rsidRPr="00BB0932">
        <w:rPr>
          <w:rFonts w:cs="Arial"/>
        </w:rPr>
        <w:t xml:space="preserve"> nas reuniões de</w:t>
      </w:r>
      <w:r w:rsidRPr="002B58A3">
        <w:t>:</w:t>
      </w:r>
    </w:p>
    <w:p w14:paraId="427AD53F" w14:textId="77777777" w:rsidR="00B81FDF" w:rsidRPr="002B58A3" w:rsidRDefault="00B81FDF" w:rsidP="00B81FDF">
      <w:pPr>
        <w:pStyle w:val="Tpicosdaapresentao"/>
        <w:numPr>
          <w:ilvl w:val="0"/>
          <w:numId w:val="0"/>
        </w:numPr>
        <w:spacing w:after="0"/>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5"/>
        <w:gridCol w:w="2606"/>
        <w:gridCol w:w="2607"/>
      </w:tblGrid>
      <w:tr w:rsidR="00B81FDF" w:rsidRPr="002728CE" w14:paraId="27C8814B" w14:textId="77777777" w:rsidTr="00E735C1">
        <w:trPr>
          <w:trHeight w:val="476"/>
        </w:trPr>
        <w:tc>
          <w:tcPr>
            <w:tcW w:w="3175" w:type="dxa"/>
            <w:shd w:val="clear" w:color="auto" w:fill="auto"/>
            <w:vAlign w:val="center"/>
          </w:tcPr>
          <w:p w14:paraId="7D53BBAF" w14:textId="77777777" w:rsidR="00B81FDF" w:rsidRPr="002728CE" w:rsidRDefault="00B81FDF" w:rsidP="00E735C1">
            <w:pPr>
              <w:pStyle w:val="Datadareunio"/>
              <w:rPr>
                <w:rFonts w:cs="Arial"/>
              </w:rPr>
            </w:pPr>
            <w:r w:rsidRPr="00684422">
              <w:rPr>
                <w:rFonts w:cs="Arial"/>
              </w:rPr>
              <w:t>23.02.2022</w:t>
            </w:r>
          </w:p>
        </w:tc>
        <w:tc>
          <w:tcPr>
            <w:tcW w:w="2606" w:type="dxa"/>
            <w:shd w:val="clear" w:color="auto" w:fill="auto"/>
            <w:vAlign w:val="center"/>
          </w:tcPr>
          <w:p w14:paraId="105414B3" w14:textId="77777777" w:rsidR="00B81FDF" w:rsidRPr="002728CE" w:rsidRDefault="00B81FDF" w:rsidP="00E735C1">
            <w:pPr>
              <w:pStyle w:val="Datadareunio"/>
              <w:rPr>
                <w:rFonts w:cs="Arial"/>
              </w:rPr>
            </w:pPr>
            <w:r w:rsidRPr="002728CE">
              <w:rPr>
                <w:rFonts w:cs="Arial"/>
              </w:rPr>
              <w:t>05.04.2022</w:t>
            </w:r>
          </w:p>
        </w:tc>
        <w:tc>
          <w:tcPr>
            <w:tcW w:w="2607" w:type="dxa"/>
            <w:shd w:val="clear" w:color="auto" w:fill="auto"/>
            <w:vAlign w:val="center"/>
          </w:tcPr>
          <w:p w14:paraId="04AACEB4" w14:textId="77777777" w:rsidR="00B81FDF" w:rsidRPr="002728CE" w:rsidRDefault="00B81FDF" w:rsidP="00E735C1">
            <w:pPr>
              <w:pStyle w:val="Datadareunio"/>
              <w:rPr>
                <w:rFonts w:cs="Arial"/>
              </w:rPr>
            </w:pPr>
            <w:r w:rsidRPr="002728CE">
              <w:rPr>
                <w:rFonts w:cs="Arial"/>
              </w:rPr>
              <w:t>05.09.2022</w:t>
            </w:r>
          </w:p>
        </w:tc>
      </w:tr>
      <w:tr w:rsidR="00B81FDF" w:rsidRPr="002728CE" w14:paraId="573CCD31" w14:textId="77777777" w:rsidTr="00E735C1">
        <w:trPr>
          <w:trHeight w:val="476"/>
        </w:trPr>
        <w:tc>
          <w:tcPr>
            <w:tcW w:w="3175" w:type="dxa"/>
            <w:shd w:val="clear" w:color="auto" w:fill="auto"/>
            <w:vAlign w:val="center"/>
          </w:tcPr>
          <w:p w14:paraId="5214F309" w14:textId="77777777" w:rsidR="00B81FDF" w:rsidRPr="002728CE" w:rsidRDefault="00B81FDF" w:rsidP="00E735C1">
            <w:pPr>
              <w:pStyle w:val="Datadareunio"/>
              <w:rPr>
                <w:rFonts w:cs="Arial"/>
              </w:rPr>
            </w:pPr>
            <w:r w:rsidRPr="002728CE">
              <w:rPr>
                <w:rFonts w:cs="Arial"/>
              </w:rPr>
              <w:t>15.05.2023</w:t>
            </w:r>
          </w:p>
        </w:tc>
        <w:tc>
          <w:tcPr>
            <w:tcW w:w="2606" w:type="dxa"/>
            <w:shd w:val="clear" w:color="auto" w:fill="auto"/>
            <w:vAlign w:val="center"/>
          </w:tcPr>
          <w:p w14:paraId="08BC837A" w14:textId="77777777" w:rsidR="00B81FDF" w:rsidRPr="002728CE" w:rsidRDefault="00B81FDF" w:rsidP="00E735C1">
            <w:pPr>
              <w:pStyle w:val="Datadareunio"/>
              <w:rPr>
                <w:rFonts w:cs="Arial"/>
              </w:rPr>
            </w:pPr>
            <w:r w:rsidRPr="002728CE">
              <w:rPr>
                <w:rFonts w:cs="Arial"/>
              </w:rPr>
              <w:t>18.09.2023</w:t>
            </w:r>
          </w:p>
        </w:tc>
        <w:tc>
          <w:tcPr>
            <w:tcW w:w="2607" w:type="dxa"/>
            <w:shd w:val="clear" w:color="auto" w:fill="auto"/>
            <w:vAlign w:val="center"/>
          </w:tcPr>
          <w:p w14:paraId="430CA5AE" w14:textId="77777777" w:rsidR="00B81FDF" w:rsidRPr="002728CE" w:rsidRDefault="00B81FDF" w:rsidP="00E735C1">
            <w:pPr>
              <w:pStyle w:val="Datadareunio"/>
              <w:rPr>
                <w:rFonts w:cs="Arial"/>
              </w:rPr>
            </w:pPr>
            <w:r w:rsidRPr="002728CE">
              <w:rPr>
                <w:rFonts w:cs="Arial"/>
              </w:rPr>
              <w:t>05.02.2024</w:t>
            </w:r>
          </w:p>
        </w:tc>
      </w:tr>
      <w:tr w:rsidR="00B81FDF" w:rsidRPr="002728CE" w14:paraId="031F884B" w14:textId="77777777" w:rsidTr="00E735C1">
        <w:trPr>
          <w:trHeight w:val="476"/>
        </w:trPr>
        <w:tc>
          <w:tcPr>
            <w:tcW w:w="3175" w:type="dxa"/>
            <w:shd w:val="clear" w:color="auto" w:fill="auto"/>
            <w:vAlign w:val="center"/>
          </w:tcPr>
          <w:p w14:paraId="5298A77E" w14:textId="77777777" w:rsidR="00B81FDF" w:rsidRPr="002728CE" w:rsidRDefault="00B81FDF" w:rsidP="00E735C1">
            <w:pPr>
              <w:pStyle w:val="Datadareunio"/>
              <w:rPr>
                <w:rFonts w:cs="Arial"/>
              </w:rPr>
            </w:pPr>
            <w:r w:rsidRPr="002728CE">
              <w:rPr>
                <w:rFonts w:cs="Arial"/>
              </w:rPr>
              <w:t>09.12.2024</w:t>
            </w:r>
          </w:p>
        </w:tc>
        <w:tc>
          <w:tcPr>
            <w:tcW w:w="2606" w:type="dxa"/>
            <w:shd w:val="clear" w:color="auto" w:fill="auto"/>
            <w:vAlign w:val="center"/>
          </w:tcPr>
          <w:p w14:paraId="455E6CAF" w14:textId="77777777" w:rsidR="00B81FDF" w:rsidRPr="002728CE" w:rsidRDefault="00B81FDF" w:rsidP="00E735C1">
            <w:pPr>
              <w:pStyle w:val="Datadareunio"/>
              <w:rPr>
                <w:rFonts w:cs="Arial"/>
              </w:rPr>
            </w:pPr>
            <w:r w:rsidRPr="002728CE">
              <w:rPr>
                <w:rFonts w:cs="Arial"/>
              </w:rPr>
              <w:t>20.01.2025</w:t>
            </w:r>
          </w:p>
        </w:tc>
        <w:tc>
          <w:tcPr>
            <w:tcW w:w="2607" w:type="dxa"/>
            <w:shd w:val="clear" w:color="auto" w:fill="auto"/>
            <w:vAlign w:val="center"/>
          </w:tcPr>
          <w:p w14:paraId="527C3C3B" w14:textId="77777777" w:rsidR="00B81FDF" w:rsidRPr="002728CE" w:rsidRDefault="00B81FDF" w:rsidP="00E735C1">
            <w:pPr>
              <w:pStyle w:val="Datadareunio"/>
              <w:rPr>
                <w:rFonts w:cs="Arial"/>
              </w:rPr>
            </w:pPr>
            <w:r w:rsidRPr="002728CE">
              <w:rPr>
                <w:rFonts w:cs="Arial"/>
              </w:rPr>
              <w:t>17.02.2025</w:t>
            </w:r>
          </w:p>
        </w:tc>
      </w:tr>
      <w:tr w:rsidR="00B81FDF" w:rsidRPr="002728CE" w14:paraId="0601C243" w14:textId="77777777" w:rsidTr="00E735C1">
        <w:trPr>
          <w:trHeight w:val="476"/>
        </w:trPr>
        <w:tc>
          <w:tcPr>
            <w:tcW w:w="3175" w:type="dxa"/>
            <w:shd w:val="clear" w:color="auto" w:fill="auto"/>
            <w:vAlign w:val="center"/>
          </w:tcPr>
          <w:p w14:paraId="6BBC4517" w14:textId="77777777" w:rsidR="00B81FDF" w:rsidRPr="002728CE" w:rsidRDefault="00B81FDF" w:rsidP="00E735C1">
            <w:pPr>
              <w:pStyle w:val="Datadareunio"/>
              <w:rPr>
                <w:rFonts w:cs="Arial"/>
              </w:rPr>
            </w:pPr>
            <w:r w:rsidRPr="002728CE">
              <w:rPr>
                <w:rFonts w:cs="Arial"/>
              </w:rPr>
              <w:t>24.02.2025</w:t>
            </w:r>
          </w:p>
        </w:tc>
        <w:tc>
          <w:tcPr>
            <w:tcW w:w="2606" w:type="dxa"/>
            <w:shd w:val="clear" w:color="auto" w:fill="auto"/>
            <w:vAlign w:val="center"/>
          </w:tcPr>
          <w:p w14:paraId="30B364C4" w14:textId="77777777" w:rsidR="00B81FDF" w:rsidRPr="002728CE" w:rsidRDefault="00B81FDF" w:rsidP="00E735C1">
            <w:pPr>
              <w:pStyle w:val="Datadareunio"/>
              <w:rPr>
                <w:rFonts w:cs="Arial"/>
              </w:rPr>
            </w:pPr>
            <w:r w:rsidRPr="002728CE">
              <w:rPr>
                <w:rFonts w:cs="Arial"/>
              </w:rPr>
              <w:t>17.03.2025</w:t>
            </w:r>
          </w:p>
        </w:tc>
        <w:tc>
          <w:tcPr>
            <w:tcW w:w="2607" w:type="dxa"/>
            <w:shd w:val="clear" w:color="auto" w:fill="auto"/>
            <w:vAlign w:val="center"/>
          </w:tcPr>
          <w:p w14:paraId="6D2D82D9" w14:textId="77777777" w:rsidR="00B81FDF" w:rsidRPr="002728CE" w:rsidRDefault="00B81FDF" w:rsidP="00E735C1">
            <w:pPr>
              <w:pStyle w:val="Datadareunio"/>
              <w:rPr>
                <w:rFonts w:cs="Arial"/>
              </w:rPr>
            </w:pPr>
            <w:r w:rsidRPr="002728CE">
              <w:rPr>
                <w:rFonts w:cs="Arial"/>
              </w:rPr>
              <w:t>21.05.2025</w:t>
            </w:r>
          </w:p>
        </w:tc>
      </w:tr>
      <w:tr w:rsidR="00A945AC" w:rsidRPr="002728CE" w14:paraId="47E9D1AE" w14:textId="77777777" w:rsidTr="00E735C1">
        <w:trPr>
          <w:trHeight w:val="476"/>
        </w:trPr>
        <w:tc>
          <w:tcPr>
            <w:tcW w:w="3175" w:type="dxa"/>
            <w:shd w:val="clear" w:color="auto" w:fill="auto"/>
            <w:vAlign w:val="center"/>
          </w:tcPr>
          <w:p w14:paraId="5DFD9620" w14:textId="7B421BE9" w:rsidR="00A945AC" w:rsidRPr="002728CE" w:rsidRDefault="00A945AC" w:rsidP="00E735C1">
            <w:pPr>
              <w:pStyle w:val="Datadareunio"/>
              <w:rPr>
                <w:rFonts w:cs="Arial"/>
              </w:rPr>
            </w:pPr>
            <w:r>
              <w:rPr>
                <w:rFonts w:cs="Arial"/>
              </w:rPr>
              <w:t>18.06.2025</w:t>
            </w:r>
          </w:p>
        </w:tc>
        <w:tc>
          <w:tcPr>
            <w:tcW w:w="2606" w:type="dxa"/>
            <w:shd w:val="clear" w:color="auto" w:fill="auto"/>
            <w:vAlign w:val="center"/>
          </w:tcPr>
          <w:p w14:paraId="64753C90" w14:textId="77777777" w:rsidR="00A945AC" w:rsidRPr="002728CE" w:rsidRDefault="00A945AC" w:rsidP="00E735C1">
            <w:pPr>
              <w:pStyle w:val="Datadareunio"/>
              <w:rPr>
                <w:rFonts w:cs="Arial"/>
              </w:rPr>
            </w:pPr>
          </w:p>
        </w:tc>
        <w:tc>
          <w:tcPr>
            <w:tcW w:w="2607" w:type="dxa"/>
            <w:shd w:val="clear" w:color="auto" w:fill="auto"/>
            <w:vAlign w:val="center"/>
          </w:tcPr>
          <w:p w14:paraId="00A15295" w14:textId="77777777" w:rsidR="00A945AC" w:rsidRPr="002728CE" w:rsidRDefault="00A945AC" w:rsidP="00E735C1">
            <w:pPr>
              <w:pStyle w:val="Datadareunio"/>
              <w:rPr>
                <w:rFonts w:cs="Arial"/>
              </w:rPr>
            </w:pPr>
          </w:p>
        </w:tc>
      </w:tr>
    </w:tbl>
    <w:p w14:paraId="11CDB8FC" w14:textId="5B0ACB7F" w:rsidR="00B81FDF" w:rsidRPr="002B58A3" w:rsidRDefault="00B81FDF" w:rsidP="004903CD">
      <w:pPr>
        <w:pStyle w:val="Tpicosdaapresentao"/>
        <w:widowControl w:val="0"/>
      </w:pPr>
      <w:r w:rsidRPr="002B58A3">
        <w:t>Este Projeto não tem valor normativo.</w:t>
      </w:r>
    </w:p>
    <w:p w14:paraId="1C3E4B47" w14:textId="77777777" w:rsidR="00B81FDF" w:rsidRPr="002B58A3" w:rsidRDefault="00B81FDF" w:rsidP="00B81FDF">
      <w:pPr>
        <w:pStyle w:val="Tpicosdaapresentao"/>
        <w:widowControl w:val="0"/>
      </w:pPr>
      <w:r w:rsidRPr="002B58A3">
        <w:t xml:space="preserve">Aqueles que tiverem conhecimento de qualquer direito de patente </w:t>
      </w:r>
      <w:r w:rsidRPr="002B58A3">
        <w:rPr>
          <w:noProof w:val="0"/>
        </w:rPr>
        <w:t xml:space="preserve">relacionado ao assunto tratado neste Projeto </w:t>
      </w:r>
      <w:r w:rsidRPr="002B58A3">
        <w:t>devem apresentar esta informação em seus comentários, com documentação comprobatória.</w:t>
      </w:r>
    </w:p>
    <w:p w14:paraId="1CDAB152" w14:textId="77777777" w:rsidR="00B81FDF" w:rsidRPr="002B58A3" w:rsidRDefault="00B81FDF" w:rsidP="00B81FDF">
      <w:pPr>
        <w:pStyle w:val="Tpicosdaapresentao"/>
        <w:widowControl w:val="0"/>
      </w:pPr>
      <w:r w:rsidRPr="002B58A3">
        <w:t>Analista ABNT: Michelly Luara Aparecida Oliveira.</w:t>
      </w:r>
    </w:p>
    <w:p w14:paraId="0CD1580E" w14:textId="77777777" w:rsidR="00B81FDF" w:rsidRPr="002B58A3" w:rsidRDefault="00B81FDF" w:rsidP="00B81FDF">
      <w:pPr>
        <w:pStyle w:val="Prefcio"/>
      </w:pPr>
      <w:r w:rsidRPr="002B58A3">
        <w:br w:type="page"/>
      </w:r>
      <w:bookmarkStart w:id="0" w:name="_Toc129425882"/>
      <w:bookmarkStart w:id="1" w:name="_Toc232225108"/>
      <w:bookmarkStart w:id="2" w:name="_Toc232567944"/>
      <w:bookmarkStart w:id="3" w:name="_Toc232567988"/>
      <w:bookmarkStart w:id="4" w:name="_Toc232662584"/>
      <w:bookmarkStart w:id="5" w:name="_Toc234979316"/>
      <w:bookmarkStart w:id="6" w:name="_Toc232592771"/>
      <w:bookmarkStart w:id="7" w:name="_Toc232592982"/>
      <w:r w:rsidRPr="002B58A3">
        <w:lastRenderedPageBreak/>
        <w:t>Prefácio</w:t>
      </w:r>
      <w:bookmarkEnd w:id="0"/>
      <w:bookmarkEnd w:id="1"/>
      <w:bookmarkEnd w:id="2"/>
      <w:bookmarkEnd w:id="3"/>
      <w:bookmarkEnd w:id="4"/>
      <w:bookmarkEnd w:id="5"/>
      <w:bookmarkEnd w:id="6"/>
      <w:bookmarkEnd w:id="7"/>
    </w:p>
    <w:p w14:paraId="562BCC94" w14:textId="337EC5D9" w:rsidR="00B81FDF" w:rsidRPr="00DE2E50" w:rsidRDefault="00B81FDF" w:rsidP="00B81FDF">
      <w:pPr>
        <w:pStyle w:val="Pargrafo11pt"/>
        <w:rPr>
          <w:szCs w:val="22"/>
        </w:rPr>
      </w:pPr>
      <w:bookmarkStart w:id="8" w:name="Section2_Body_Prefacio"/>
      <w:bookmarkEnd w:id="8"/>
      <w:r w:rsidRPr="00DE2E50">
        <w:rPr>
          <w:szCs w:val="22"/>
        </w:rPr>
        <w:t>A</w:t>
      </w:r>
      <w:r w:rsidRPr="00DE2E50">
        <w:rPr>
          <w:spacing w:val="-27"/>
          <w:szCs w:val="22"/>
        </w:rPr>
        <w:t xml:space="preserve"> </w:t>
      </w:r>
      <w:r w:rsidRPr="00DE2E50">
        <w:rPr>
          <w:szCs w:val="22"/>
        </w:rPr>
        <w:t>Associação</w:t>
      </w:r>
      <w:r w:rsidRPr="00DE2E50">
        <w:rPr>
          <w:spacing w:val="-2"/>
          <w:szCs w:val="22"/>
        </w:rPr>
        <w:t xml:space="preserve"> </w:t>
      </w:r>
      <w:r w:rsidRPr="00DE2E50">
        <w:rPr>
          <w:szCs w:val="22"/>
        </w:rPr>
        <w:t>Brasileira</w:t>
      </w:r>
      <w:r w:rsidRPr="00DE2E50">
        <w:rPr>
          <w:spacing w:val="-2"/>
          <w:szCs w:val="22"/>
        </w:rPr>
        <w:t xml:space="preserve"> </w:t>
      </w:r>
      <w:r w:rsidRPr="00DE2E50">
        <w:rPr>
          <w:szCs w:val="22"/>
        </w:rPr>
        <w:t>de</w:t>
      </w:r>
      <w:r w:rsidRPr="00DE2E50">
        <w:rPr>
          <w:spacing w:val="-3"/>
          <w:szCs w:val="22"/>
        </w:rPr>
        <w:t xml:space="preserve"> </w:t>
      </w:r>
      <w:r w:rsidRPr="00DE2E50">
        <w:rPr>
          <w:szCs w:val="22"/>
        </w:rPr>
        <w:t>Normas</w:t>
      </w:r>
      <w:r w:rsidRPr="00DE2E50">
        <w:rPr>
          <w:spacing w:val="-6"/>
          <w:szCs w:val="22"/>
        </w:rPr>
        <w:t xml:space="preserve"> </w:t>
      </w:r>
      <w:r w:rsidRPr="00DE2E50">
        <w:rPr>
          <w:szCs w:val="22"/>
        </w:rPr>
        <w:t>Técnicas</w:t>
      </w:r>
      <w:r w:rsidRPr="00DE2E50">
        <w:rPr>
          <w:spacing w:val="-2"/>
          <w:szCs w:val="22"/>
        </w:rPr>
        <w:t xml:space="preserve"> </w:t>
      </w:r>
      <w:r w:rsidRPr="00DE2E50">
        <w:rPr>
          <w:szCs w:val="22"/>
        </w:rPr>
        <w:t>(ABNT)</w:t>
      </w:r>
      <w:r w:rsidRPr="00DE2E50">
        <w:rPr>
          <w:spacing w:val="-2"/>
          <w:szCs w:val="22"/>
        </w:rPr>
        <w:t xml:space="preserve"> </w:t>
      </w:r>
      <w:r w:rsidRPr="00DE2E50">
        <w:rPr>
          <w:szCs w:val="22"/>
        </w:rPr>
        <w:t>é</w:t>
      </w:r>
      <w:r w:rsidRPr="00DE2E50">
        <w:rPr>
          <w:spacing w:val="-4"/>
          <w:szCs w:val="22"/>
        </w:rPr>
        <w:t xml:space="preserve"> </w:t>
      </w:r>
      <w:r w:rsidRPr="00DE2E50">
        <w:rPr>
          <w:szCs w:val="22"/>
        </w:rPr>
        <w:t>o</w:t>
      </w:r>
      <w:r w:rsidRPr="00DE2E50">
        <w:rPr>
          <w:spacing w:val="-3"/>
          <w:szCs w:val="22"/>
        </w:rPr>
        <w:t xml:space="preserve"> </w:t>
      </w:r>
      <w:r w:rsidRPr="00DE2E50">
        <w:rPr>
          <w:szCs w:val="22"/>
        </w:rPr>
        <w:t>Foro</w:t>
      </w:r>
      <w:r w:rsidRPr="00DE2E50">
        <w:rPr>
          <w:spacing w:val="-2"/>
          <w:szCs w:val="22"/>
        </w:rPr>
        <w:t xml:space="preserve"> </w:t>
      </w:r>
      <w:r w:rsidRPr="00DE2E50">
        <w:rPr>
          <w:szCs w:val="22"/>
        </w:rPr>
        <w:t>Nacional</w:t>
      </w:r>
      <w:r w:rsidRPr="00DE2E50">
        <w:rPr>
          <w:spacing w:val="-2"/>
          <w:szCs w:val="22"/>
        </w:rPr>
        <w:t xml:space="preserve"> </w:t>
      </w:r>
      <w:r w:rsidRPr="00DE2E50">
        <w:rPr>
          <w:szCs w:val="22"/>
        </w:rPr>
        <w:t>de</w:t>
      </w:r>
      <w:r w:rsidRPr="00DE2E50">
        <w:rPr>
          <w:spacing w:val="-3"/>
          <w:szCs w:val="22"/>
        </w:rPr>
        <w:t xml:space="preserve"> </w:t>
      </w:r>
      <w:r w:rsidRPr="00DE2E50">
        <w:rPr>
          <w:szCs w:val="22"/>
        </w:rPr>
        <w:t>Normalização.</w:t>
      </w:r>
      <w:r w:rsidRPr="00DE2E50">
        <w:rPr>
          <w:spacing w:val="-14"/>
          <w:szCs w:val="22"/>
        </w:rPr>
        <w:t xml:space="preserve"> </w:t>
      </w:r>
      <w:r w:rsidRPr="00DE2E50">
        <w:rPr>
          <w:szCs w:val="22"/>
        </w:rPr>
        <w:t>As</w:t>
      </w:r>
      <w:r w:rsidRPr="00DE2E50">
        <w:rPr>
          <w:spacing w:val="-2"/>
          <w:szCs w:val="22"/>
        </w:rPr>
        <w:t xml:space="preserve"> </w:t>
      </w:r>
      <w:r w:rsidRPr="00DE2E50">
        <w:rPr>
          <w:szCs w:val="22"/>
        </w:rPr>
        <w:t>Normas Brasileiras,</w:t>
      </w:r>
      <w:r w:rsidRPr="00DE2E50">
        <w:rPr>
          <w:spacing w:val="-13"/>
          <w:szCs w:val="22"/>
        </w:rPr>
        <w:t xml:space="preserve"> </w:t>
      </w:r>
      <w:r w:rsidRPr="00DE2E50">
        <w:rPr>
          <w:szCs w:val="22"/>
        </w:rPr>
        <w:t>cujo</w:t>
      </w:r>
      <w:r w:rsidRPr="00DE2E50">
        <w:rPr>
          <w:spacing w:val="-13"/>
          <w:szCs w:val="22"/>
        </w:rPr>
        <w:t xml:space="preserve"> </w:t>
      </w:r>
      <w:r w:rsidRPr="00DE2E50">
        <w:rPr>
          <w:szCs w:val="22"/>
        </w:rPr>
        <w:t>conteúdo</w:t>
      </w:r>
      <w:r w:rsidRPr="00DE2E50">
        <w:rPr>
          <w:spacing w:val="-13"/>
          <w:szCs w:val="22"/>
        </w:rPr>
        <w:t xml:space="preserve"> </w:t>
      </w:r>
      <w:r w:rsidRPr="00DE2E50">
        <w:rPr>
          <w:szCs w:val="22"/>
        </w:rPr>
        <w:t>é</w:t>
      </w:r>
      <w:r w:rsidRPr="00DE2E50">
        <w:rPr>
          <w:spacing w:val="-13"/>
          <w:szCs w:val="22"/>
        </w:rPr>
        <w:t xml:space="preserve"> </w:t>
      </w:r>
      <w:r w:rsidRPr="00DE2E50">
        <w:rPr>
          <w:szCs w:val="22"/>
        </w:rPr>
        <w:t>de</w:t>
      </w:r>
      <w:r w:rsidRPr="00DE2E50">
        <w:rPr>
          <w:spacing w:val="-13"/>
          <w:szCs w:val="22"/>
        </w:rPr>
        <w:t xml:space="preserve"> </w:t>
      </w:r>
      <w:r w:rsidRPr="00DE2E50">
        <w:rPr>
          <w:szCs w:val="22"/>
        </w:rPr>
        <w:t>responsabilidade</w:t>
      </w:r>
      <w:r w:rsidRPr="00DE2E50">
        <w:rPr>
          <w:spacing w:val="-12"/>
          <w:szCs w:val="22"/>
        </w:rPr>
        <w:t xml:space="preserve"> </w:t>
      </w:r>
      <w:r w:rsidRPr="00DE2E50">
        <w:rPr>
          <w:szCs w:val="22"/>
        </w:rPr>
        <w:t>dos</w:t>
      </w:r>
      <w:r w:rsidRPr="00DE2E50">
        <w:rPr>
          <w:spacing w:val="-13"/>
          <w:szCs w:val="22"/>
        </w:rPr>
        <w:t xml:space="preserve"> </w:t>
      </w:r>
      <w:r w:rsidRPr="00DE2E50">
        <w:rPr>
          <w:szCs w:val="22"/>
        </w:rPr>
        <w:t>Comitês</w:t>
      </w:r>
      <w:r w:rsidRPr="00DE2E50">
        <w:rPr>
          <w:spacing w:val="-13"/>
          <w:szCs w:val="22"/>
        </w:rPr>
        <w:t xml:space="preserve"> </w:t>
      </w:r>
      <w:r w:rsidRPr="00DE2E50">
        <w:rPr>
          <w:szCs w:val="22"/>
        </w:rPr>
        <w:t>Brasileiros</w:t>
      </w:r>
      <w:r w:rsidRPr="00DE2E50">
        <w:rPr>
          <w:spacing w:val="-13"/>
          <w:szCs w:val="22"/>
        </w:rPr>
        <w:t xml:space="preserve"> </w:t>
      </w:r>
      <w:r w:rsidRPr="00DE2E50">
        <w:rPr>
          <w:szCs w:val="22"/>
        </w:rPr>
        <w:t>(ABNT/CB),</w:t>
      </w:r>
      <w:r w:rsidRPr="00DE2E50">
        <w:rPr>
          <w:spacing w:val="-13"/>
          <w:szCs w:val="22"/>
        </w:rPr>
        <w:t xml:space="preserve"> </w:t>
      </w:r>
      <w:r w:rsidRPr="00DE2E50">
        <w:rPr>
          <w:szCs w:val="22"/>
        </w:rPr>
        <w:t>dos</w:t>
      </w:r>
      <w:r w:rsidRPr="00DE2E50">
        <w:rPr>
          <w:spacing w:val="-13"/>
          <w:szCs w:val="22"/>
        </w:rPr>
        <w:t xml:space="preserve"> </w:t>
      </w:r>
      <w:r w:rsidRPr="00DE2E50">
        <w:rPr>
          <w:szCs w:val="22"/>
        </w:rPr>
        <w:t>Organismos de Normalização Setorial (ABNT/ONS) e das Comissões de Estudo Especiais (ABNT/CEE), são elaboradas por Comissões de Estudo (CE), formadas pelas partes interessadas no tema objeto da</w:t>
      </w:r>
      <w:r w:rsidRPr="00DE2E50">
        <w:rPr>
          <w:spacing w:val="-2"/>
          <w:szCs w:val="22"/>
        </w:rPr>
        <w:t xml:space="preserve"> </w:t>
      </w:r>
      <w:r w:rsidRPr="00DE2E50">
        <w:rPr>
          <w:szCs w:val="22"/>
        </w:rPr>
        <w:t>normalização.</w:t>
      </w:r>
    </w:p>
    <w:p w14:paraId="69542C25" w14:textId="77777777" w:rsidR="00B81FDF" w:rsidRPr="00DE2E50" w:rsidRDefault="00B81FDF" w:rsidP="00B81FDF">
      <w:pPr>
        <w:pStyle w:val="Pargrafo11pt"/>
        <w:rPr>
          <w:szCs w:val="22"/>
        </w:rPr>
      </w:pPr>
      <w:r w:rsidRPr="00DE2E50">
        <w:rPr>
          <w:szCs w:val="22"/>
        </w:rPr>
        <w:t>Os Documentos Técnicos ABNT são elaborados conforme as regras da</w:t>
      </w:r>
      <w:r w:rsidRPr="00DE2E50">
        <w:rPr>
          <w:szCs w:val="22"/>
        </w:rPr>
        <w:br/>
        <w:t>ABNT Diretiva 2.</w:t>
      </w:r>
    </w:p>
    <w:p w14:paraId="5D2E743C" w14:textId="6FAFD6DF" w:rsidR="00B81FDF" w:rsidRPr="00DE2E50" w:rsidRDefault="00B81FDF" w:rsidP="00B81FDF">
      <w:pPr>
        <w:pStyle w:val="Pargrafo11pt"/>
        <w:rPr>
          <w:szCs w:val="22"/>
        </w:rPr>
      </w:pPr>
      <w:r w:rsidRPr="00DE2E50">
        <w:rPr>
          <w:spacing w:val="4"/>
          <w:szCs w:val="22"/>
        </w:rPr>
        <w:t>A ABNT</w:t>
      </w:r>
      <w:r w:rsidRPr="00DE2E50">
        <w:rPr>
          <w:spacing w:val="-20"/>
          <w:szCs w:val="22"/>
        </w:rPr>
        <w:t xml:space="preserve"> </w:t>
      </w:r>
      <w:r w:rsidRPr="00DE2E50">
        <w:rPr>
          <w:szCs w:val="22"/>
        </w:rPr>
        <w:t>chama</w:t>
      </w:r>
      <w:r w:rsidRPr="00DE2E50">
        <w:rPr>
          <w:spacing w:val="-16"/>
          <w:szCs w:val="22"/>
        </w:rPr>
        <w:t xml:space="preserve"> </w:t>
      </w:r>
      <w:r w:rsidRPr="00DE2E50">
        <w:rPr>
          <w:szCs w:val="22"/>
        </w:rPr>
        <w:t>a</w:t>
      </w:r>
      <w:r w:rsidRPr="00DE2E50">
        <w:rPr>
          <w:spacing w:val="-16"/>
          <w:szCs w:val="22"/>
        </w:rPr>
        <w:t xml:space="preserve"> </w:t>
      </w:r>
      <w:r w:rsidRPr="00DE2E50">
        <w:rPr>
          <w:szCs w:val="22"/>
        </w:rPr>
        <w:t>atenção</w:t>
      </w:r>
      <w:r w:rsidRPr="00DE2E50">
        <w:rPr>
          <w:spacing w:val="-17"/>
          <w:szCs w:val="22"/>
        </w:rPr>
        <w:t xml:space="preserve"> </w:t>
      </w:r>
      <w:r w:rsidRPr="00DE2E50">
        <w:rPr>
          <w:szCs w:val="22"/>
        </w:rPr>
        <w:t>para</w:t>
      </w:r>
      <w:r w:rsidRPr="00DE2E50">
        <w:rPr>
          <w:spacing w:val="-16"/>
          <w:szCs w:val="22"/>
        </w:rPr>
        <w:t xml:space="preserve"> </w:t>
      </w:r>
      <w:r w:rsidRPr="00DE2E50">
        <w:rPr>
          <w:szCs w:val="22"/>
        </w:rPr>
        <w:t>que,</w:t>
      </w:r>
      <w:r w:rsidRPr="00DE2E50">
        <w:rPr>
          <w:spacing w:val="-16"/>
          <w:szCs w:val="22"/>
        </w:rPr>
        <w:t xml:space="preserve"> </w:t>
      </w:r>
      <w:r w:rsidRPr="00DE2E50">
        <w:rPr>
          <w:szCs w:val="22"/>
        </w:rPr>
        <w:t>apesar</w:t>
      </w:r>
      <w:r w:rsidRPr="00DE2E50">
        <w:rPr>
          <w:spacing w:val="-16"/>
          <w:szCs w:val="22"/>
        </w:rPr>
        <w:t xml:space="preserve"> </w:t>
      </w:r>
      <w:r w:rsidRPr="00DE2E50">
        <w:rPr>
          <w:szCs w:val="22"/>
        </w:rPr>
        <w:t>de</w:t>
      </w:r>
      <w:r w:rsidRPr="00DE2E50">
        <w:rPr>
          <w:spacing w:val="-16"/>
          <w:szCs w:val="22"/>
        </w:rPr>
        <w:t xml:space="preserve"> </w:t>
      </w:r>
      <w:r w:rsidRPr="00DE2E50">
        <w:rPr>
          <w:szCs w:val="22"/>
        </w:rPr>
        <w:t>ter</w:t>
      </w:r>
      <w:r w:rsidRPr="00DE2E50">
        <w:rPr>
          <w:spacing w:val="-15"/>
          <w:szCs w:val="22"/>
        </w:rPr>
        <w:t xml:space="preserve"> </w:t>
      </w:r>
      <w:r w:rsidRPr="00DE2E50">
        <w:rPr>
          <w:szCs w:val="22"/>
        </w:rPr>
        <w:t>sido</w:t>
      </w:r>
      <w:r w:rsidRPr="00DE2E50">
        <w:rPr>
          <w:spacing w:val="-16"/>
          <w:szCs w:val="22"/>
        </w:rPr>
        <w:t xml:space="preserve"> </w:t>
      </w:r>
      <w:r w:rsidRPr="00DE2E50">
        <w:rPr>
          <w:szCs w:val="22"/>
        </w:rPr>
        <w:t>solicitada</w:t>
      </w:r>
      <w:r w:rsidRPr="00DE2E50">
        <w:rPr>
          <w:spacing w:val="-15"/>
          <w:szCs w:val="22"/>
        </w:rPr>
        <w:t xml:space="preserve"> </w:t>
      </w:r>
      <w:r w:rsidRPr="00DE2E50">
        <w:rPr>
          <w:szCs w:val="22"/>
        </w:rPr>
        <w:t>manifestação</w:t>
      </w:r>
      <w:r w:rsidRPr="00DE2E50">
        <w:rPr>
          <w:spacing w:val="-15"/>
          <w:szCs w:val="22"/>
        </w:rPr>
        <w:t xml:space="preserve"> </w:t>
      </w:r>
      <w:r w:rsidRPr="00DE2E50">
        <w:rPr>
          <w:szCs w:val="22"/>
        </w:rPr>
        <w:t>sobre</w:t>
      </w:r>
      <w:r w:rsidRPr="00DE2E50">
        <w:rPr>
          <w:spacing w:val="-15"/>
          <w:szCs w:val="22"/>
        </w:rPr>
        <w:t xml:space="preserve"> </w:t>
      </w:r>
      <w:r w:rsidRPr="00DE2E50">
        <w:rPr>
          <w:szCs w:val="22"/>
        </w:rPr>
        <w:t>eventuais</w:t>
      </w:r>
      <w:r w:rsidRPr="00DE2E50">
        <w:rPr>
          <w:spacing w:val="-15"/>
          <w:szCs w:val="22"/>
        </w:rPr>
        <w:t xml:space="preserve"> </w:t>
      </w:r>
      <w:r w:rsidRPr="00DE2E50">
        <w:rPr>
          <w:szCs w:val="22"/>
        </w:rPr>
        <w:t>direitos de patentes durante a Consulta Nacional, estes podem ocorrer e devem ser comunicados à ABNT a qualquer momento (Lei nº 9.279, de 14 de maio de</w:t>
      </w:r>
      <w:r w:rsidRPr="00DE2E50">
        <w:rPr>
          <w:spacing w:val="-12"/>
          <w:szCs w:val="22"/>
        </w:rPr>
        <w:t xml:space="preserve"> </w:t>
      </w:r>
      <w:r w:rsidRPr="00DE2E50">
        <w:rPr>
          <w:szCs w:val="22"/>
        </w:rPr>
        <w:t>1996).</w:t>
      </w:r>
    </w:p>
    <w:p w14:paraId="5A2E181B" w14:textId="77777777" w:rsidR="00B81FDF" w:rsidRPr="00DE2E50" w:rsidRDefault="00B81FDF" w:rsidP="00B81FDF">
      <w:pPr>
        <w:pStyle w:val="Pargrafo11pt"/>
        <w:rPr>
          <w:spacing w:val="-5"/>
          <w:szCs w:val="22"/>
        </w:rPr>
      </w:pPr>
      <w:r w:rsidRPr="00DE2E50">
        <w:rPr>
          <w:szCs w:val="22"/>
        </w:rPr>
        <w:t xml:space="preserve">Os Documentos Técnicos </w:t>
      </w:r>
      <w:r w:rsidRPr="00DE2E50">
        <w:rPr>
          <w:spacing w:val="-5"/>
          <w:szCs w:val="22"/>
        </w:rPr>
        <w:t xml:space="preserve">ABNT, </w:t>
      </w:r>
      <w:r w:rsidRPr="00DE2E50">
        <w:rPr>
          <w:szCs w:val="22"/>
        </w:rPr>
        <w:t>assim como as Normas Internacionais (ISO e IEC), são voluntários e não incluem requisitos contratuais, legais ou estatutários. Os Documentos Técnicos ABNT não substituem</w:t>
      </w:r>
      <w:r w:rsidRPr="00DE2E50">
        <w:rPr>
          <w:spacing w:val="-17"/>
          <w:szCs w:val="22"/>
        </w:rPr>
        <w:t xml:space="preserve"> </w:t>
      </w:r>
      <w:r w:rsidRPr="00DE2E50">
        <w:rPr>
          <w:szCs w:val="22"/>
        </w:rPr>
        <w:t>Leis,</w:t>
      </w:r>
      <w:r w:rsidRPr="00DE2E50">
        <w:rPr>
          <w:spacing w:val="-17"/>
          <w:szCs w:val="22"/>
        </w:rPr>
        <w:t xml:space="preserve"> </w:t>
      </w:r>
      <w:r w:rsidRPr="00DE2E50">
        <w:rPr>
          <w:szCs w:val="22"/>
        </w:rPr>
        <w:t>Decretos</w:t>
      </w:r>
      <w:r w:rsidRPr="00DE2E50">
        <w:rPr>
          <w:spacing w:val="-16"/>
          <w:szCs w:val="22"/>
        </w:rPr>
        <w:t xml:space="preserve"> </w:t>
      </w:r>
      <w:r w:rsidRPr="00DE2E50">
        <w:rPr>
          <w:szCs w:val="22"/>
        </w:rPr>
        <w:t>ou</w:t>
      </w:r>
      <w:r w:rsidRPr="00DE2E50">
        <w:rPr>
          <w:spacing w:val="-17"/>
          <w:szCs w:val="22"/>
        </w:rPr>
        <w:t xml:space="preserve"> </w:t>
      </w:r>
      <w:r w:rsidRPr="00DE2E50">
        <w:rPr>
          <w:szCs w:val="22"/>
        </w:rPr>
        <w:t>Regulamentos,</w:t>
      </w:r>
      <w:r w:rsidRPr="00DE2E50">
        <w:rPr>
          <w:spacing w:val="-16"/>
          <w:szCs w:val="22"/>
        </w:rPr>
        <w:t xml:space="preserve"> </w:t>
      </w:r>
      <w:r w:rsidRPr="00DE2E50">
        <w:rPr>
          <w:szCs w:val="22"/>
        </w:rPr>
        <w:t>aos</w:t>
      </w:r>
      <w:r w:rsidRPr="00DE2E50">
        <w:rPr>
          <w:spacing w:val="-17"/>
          <w:szCs w:val="22"/>
        </w:rPr>
        <w:t xml:space="preserve"> </w:t>
      </w:r>
      <w:r w:rsidRPr="00DE2E50">
        <w:rPr>
          <w:szCs w:val="22"/>
        </w:rPr>
        <w:t>quais</w:t>
      </w:r>
      <w:r w:rsidRPr="00DE2E50">
        <w:rPr>
          <w:spacing w:val="-16"/>
          <w:szCs w:val="22"/>
        </w:rPr>
        <w:t xml:space="preserve"> </w:t>
      </w:r>
      <w:r w:rsidRPr="00DE2E50">
        <w:rPr>
          <w:szCs w:val="22"/>
        </w:rPr>
        <w:t>os</w:t>
      </w:r>
      <w:r w:rsidRPr="00DE2E50">
        <w:rPr>
          <w:spacing w:val="-17"/>
          <w:szCs w:val="22"/>
        </w:rPr>
        <w:t xml:space="preserve"> </w:t>
      </w:r>
      <w:r w:rsidRPr="00DE2E50">
        <w:rPr>
          <w:szCs w:val="22"/>
        </w:rPr>
        <w:t>usuários</w:t>
      </w:r>
      <w:r w:rsidRPr="00DE2E50">
        <w:rPr>
          <w:spacing w:val="-16"/>
          <w:szCs w:val="22"/>
        </w:rPr>
        <w:t xml:space="preserve"> </w:t>
      </w:r>
      <w:r w:rsidRPr="00DE2E50">
        <w:rPr>
          <w:szCs w:val="22"/>
        </w:rPr>
        <w:t>devem</w:t>
      </w:r>
      <w:r w:rsidRPr="00DE2E50">
        <w:rPr>
          <w:spacing w:val="-17"/>
          <w:szCs w:val="22"/>
        </w:rPr>
        <w:t xml:space="preserve"> </w:t>
      </w:r>
      <w:r w:rsidRPr="00DE2E50">
        <w:rPr>
          <w:spacing w:val="-3"/>
          <w:szCs w:val="22"/>
        </w:rPr>
        <w:t>atender,</w:t>
      </w:r>
      <w:r w:rsidRPr="00DE2E50">
        <w:rPr>
          <w:spacing w:val="-16"/>
          <w:szCs w:val="22"/>
        </w:rPr>
        <w:t xml:space="preserve"> </w:t>
      </w:r>
      <w:r w:rsidRPr="00DE2E50">
        <w:rPr>
          <w:szCs w:val="22"/>
        </w:rPr>
        <w:t>tendo</w:t>
      </w:r>
      <w:r w:rsidRPr="00DE2E50">
        <w:rPr>
          <w:spacing w:val="-17"/>
          <w:szCs w:val="22"/>
        </w:rPr>
        <w:t xml:space="preserve"> </w:t>
      </w:r>
      <w:r w:rsidRPr="00DE2E50">
        <w:rPr>
          <w:szCs w:val="22"/>
        </w:rPr>
        <w:t>precedência sobre qualquer Documento Técnico</w:t>
      </w:r>
      <w:r w:rsidRPr="00DE2E50">
        <w:rPr>
          <w:spacing w:val="-18"/>
          <w:szCs w:val="22"/>
        </w:rPr>
        <w:t xml:space="preserve"> </w:t>
      </w:r>
      <w:r w:rsidRPr="00DE2E50">
        <w:rPr>
          <w:spacing w:val="-5"/>
          <w:szCs w:val="22"/>
        </w:rPr>
        <w:t>ABNT.</w:t>
      </w:r>
    </w:p>
    <w:p w14:paraId="355FBCBE" w14:textId="77777777" w:rsidR="00B81FDF" w:rsidRPr="00DE2E50" w:rsidRDefault="00B81FDF" w:rsidP="00B81FDF">
      <w:pPr>
        <w:pStyle w:val="Pargrafo11pt"/>
        <w:rPr>
          <w:spacing w:val="-5"/>
          <w:szCs w:val="22"/>
        </w:rPr>
      </w:pPr>
      <w:r w:rsidRPr="00DE2E50">
        <w:rPr>
          <w:szCs w:val="22"/>
        </w:rPr>
        <w:t>Ressalta-se que os Documentos Técnicos ABNT podem ser objeto de citação em Regulamentos Técnicos.</w:t>
      </w:r>
      <w:r w:rsidRPr="00DE2E50">
        <w:rPr>
          <w:spacing w:val="-9"/>
          <w:szCs w:val="22"/>
        </w:rPr>
        <w:t xml:space="preserve"> </w:t>
      </w:r>
      <w:r w:rsidRPr="00DE2E50">
        <w:rPr>
          <w:szCs w:val="22"/>
        </w:rPr>
        <w:t>Nestes</w:t>
      </w:r>
      <w:r w:rsidRPr="00DE2E50">
        <w:rPr>
          <w:spacing w:val="-8"/>
          <w:szCs w:val="22"/>
        </w:rPr>
        <w:t xml:space="preserve"> </w:t>
      </w:r>
      <w:r w:rsidRPr="00DE2E50">
        <w:rPr>
          <w:szCs w:val="22"/>
        </w:rPr>
        <w:t>casos,</w:t>
      </w:r>
      <w:r w:rsidRPr="00DE2E50">
        <w:rPr>
          <w:spacing w:val="-9"/>
          <w:szCs w:val="22"/>
        </w:rPr>
        <w:t xml:space="preserve"> </w:t>
      </w:r>
      <w:r w:rsidRPr="00DE2E50">
        <w:rPr>
          <w:szCs w:val="22"/>
        </w:rPr>
        <w:t>os</w:t>
      </w:r>
      <w:r w:rsidRPr="00DE2E50">
        <w:rPr>
          <w:spacing w:val="-8"/>
          <w:szCs w:val="22"/>
        </w:rPr>
        <w:t xml:space="preserve"> </w:t>
      </w:r>
      <w:r w:rsidRPr="00DE2E50">
        <w:rPr>
          <w:szCs w:val="22"/>
        </w:rPr>
        <w:t>órgãos</w:t>
      </w:r>
      <w:r w:rsidRPr="00DE2E50">
        <w:rPr>
          <w:spacing w:val="-8"/>
          <w:szCs w:val="22"/>
        </w:rPr>
        <w:t xml:space="preserve"> </w:t>
      </w:r>
      <w:r w:rsidRPr="00DE2E50">
        <w:rPr>
          <w:szCs w:val="22"/>
        </w:rPr>
        <w:t>responsáveis</w:t>
      </w:r>
      <w:r w:rsidRPr="00DE2E50">
        <w:rPr>
          <w:spacing w:val="-9"/>
          <w:szCs w:val="22"/>
        </w:rPr>
        <w:t xml:space="preserve"> </w:t>
      </w:r>
      <w:r w:rsidRPr="00DE2E50">
        <w:rPr>
          <w:szCs w:val="22"/>
        </w:rPr>
        <w:t>pelos</w:t>
      </w:r>
      <w:r w:rsidRPr="00DE2E50">
        <w:rPr>
          <w:spacing w:val="-8"/>
          <w:szCs w:val="22"/>
        </w:rPr>
        <w:t xml:space="preserve"> </w:t>
      </w:r>
      <w:r w:rsidRPr="00DE2E50">
        <w:rPr>
          <w:szCs w:val="22"/>
        </w:rPr>
        <w:t>Regulamentos</w:t>
      </w:r>
      <w:r w:rsidRPr="00DE2E50">
        <w:rPr>
          <w:spacing w:val="-12"/>
          <w:szCs w:val="22"/>
        </w:rPr>
        <w:t xml:space="preserve"> </w:t>
      </w:r>
      <w:r w:rsidRPr="00DE2E50">
        <w:rPr>
          <w:szCs w:val="22"/>
        </w:rPr>
        <w:t>Técnicos</w:t>
      </w:r>
      <w:r w:rsidRPr="00DE2E50">
        <w:rPr>
          <w:spacing w:val="-9"/>
          <w:szCs w:val="22"/>
        </w:rPr>
        <w:t xml:space="preserve"> </w:t>
      </w:r>
      <w:r w:rsidRPr="00DE2E50">
        <w:rPr>
          <w:szCs w:val="22"/>
        </w:rPr>
        <w:t>podem</w:t>
      </w:r>
      <w:r w:rsidRPr="00DE2E50">
        <w:rPr>
          <w:spacing w:val="-8"/>
          <w:szCs w:val="22"/>
        </w:rPr>
        <w:t xml:space="preserve"> </w:t>
      </w:r>
      <w:r w:rsidRPr="00DE2E50">
        <w:rPr>
          <w:szCs w:val="22"/>
        </w:rPr>
        <w:t>determinar</w:t>
      </w:r>
      <w:r w:rsidRPr="00DE2E50">
        <w:rPr>
          <w:spacing w:val="-8"/>
          <w:szCs w:val="22"/>
        </w:rPr>
        <w:t xml:space="preserve"> </w:t>
      </w:r>
      <w:r w:rsidRPr="00DE2E50">
        <w:rPr>
          <w:szCs w:val="22"/>
        </w:rPr>
        <w:t>as datas para exigência dos requisitos de quaisquer Documentos Técnicos</w:t>
      </w:r>
      <w:r w:rsidRPr="00DE2E50">
        <w:rPr>
          <w:spacing w:val="-29"/>
          <w:szCs w:val="22"/>
        </w:rPr>
        <w:t xml:space="preserve"> </w:t>
      </w:r>
      <w:r w:rsidRPr="00DE2E50">
        <w:rPr>
          <w:spacing w:val="-5"/>
          <w:szCs w:val="22"/>
        </w:rPr>
        <w:t>ABNT.</w:t>
      </w:r>
    </w:p>
    <w:p w14:paraId="199C070F" w14:textId="141A2D35" w:rsidR="00B81FDF" w:rsidRPr="00141950" w:rsidRDefault="00B81FDF" w:rsidP="00141950">
      <w:pPr>
        <w:pStyle w:val="Scopettuloitlico"/>
        <w:rPr>
          <w:lang w:val="en-US"/>
        </w:rPr>
      </w:pPr>
      <w:r w:rsidRPr="002B58A3">
        <w:rPr>
          <w:lang w:val="en-US"/>
        </w:rPr>
        <w:t>Scope</w:t>
      </w:r>
    </w:p>
    <w:p w14:paraId="3EF967BB" w14:textId="77777777" w:rsidR="00141950" w:rsidRPr="00141950" w:rsidRDefault="00141950" w:rsidP="00B81FDF">
      <w:pPr>
        <w:spacing w:after="0"/>
        <w:rPr>
          <w:i/>
          <w:iCs/>
          <w:lang w:val="en-CA"/>
        </w:rPr>
      </w:pPr>
      <w:r w:rsidRPr="00141950">
        <w:rPr>
          <w:i/>
          <w:iCs/>
          <w:lang w:val="en-CA"/>
        </w:rPr>
        <w:t>This part of the Standard establishes the requirements for the execution and control of structural masonry works constructed from the laying of blocks with a thin polymeric composite joint, designed in accordance with BASE TEXT 002:123.010-002.</w:t>
      </w:r>
    </w:p>
    <w:p w14:paraId="69533BAB" w14:textId="48A36228" w:rsidR="00B81FDF" w:rsidRDefault="00B81FDF" w:rsidP="00B81FDF">
      <w:pPr>
        <w:spacing w:after="0"/>
        <w:rPr>
          <w:i/>
          <w:iCs/>
          <w:noProof/>
          <w:lang w:val="en-CA"/>
        </w:rPr>
      </w:pPr>
      <w:r>
        <w:rPr>
          <w:lang w:val="en-CA"/>
        </w:rPr>
        <w:br w:type="page"/>
      </w:r>
    </w:p>
    <w:p w14:paraId="3949D8A3" w14:textId="79F347CB" w:rsidR="00BE29D5" w:rsidRPr="00E0122A" w:rsidRDefault="00AE0511" w:rsidP="00270AD2">
      <w:pPr>
        <w:rPr>
          <w:b/>
          <w:bCs/>
        </w:rPr>
      </w:pPr>
      <w:r w:rsidRPr="00E0122A">
        <w:rPr>
          <w:b/>
          <w:bCs/>
        </w:rPr>
        <w:lastRenderedPageBreak/>
        <w:t>Alvenaria Estrutural Com Junta Fina de Composto Polimérico</w:t>
      </w:r>
      <w:r w:rsidR="00100488" w:rsidRPr="00E0122A">
        <w:rPr>
          <w:b/>
          <w:bCs/>
        </w:rPr>
        <w:t xml:space="preserve"> – Parte 2: Execução e Controle de Obras</w:t>
      </w:r>
    </w:p>
    <w:p w14:paraId="1B930370" w14:textId="72C98699" w:rsidR="003A3439" w:rsidRPr="00FB246E" w:rsidRDefault="00772327" w:rsidP="00772327">
      <w:pPr>
        <w:rPr>
          <w:i/>
          <w:iCs/>
          <w:highlight w:val="yellow"/>
          <w:lang w:val="en-US"/>
        </w:rPr>
      </w:pPr>
      <w:r w:rsidRPr="00FB246E">
        <w:rPr>
          <w:i/>
          <w:iCs/>
          <w:lang w:val="en-US"/>
        </w:rPr>
        <w:t xml:space="preserve">Structural Masonry With Thin Joints </w:t>
      </w:r>
      <w:r w:rsidR="00556283" w:rsidRPr="00FB246E">
        <w:rPr>
          <w:i/>
          <w:iCs/>
          <w:lang w:val="en-US"/>
        </w:rPr>
        <w:t>o</w:t>
      </w:r>
      <w:r w:rsidRPr="00FB246E">
        <w:rPr>
          <w:i/>
          <w:iCs/>
          <w:lang w:val="en-US"/>
        </w:rPr>
        <w:t>f Polymeric Compound</w:t>
      </w:r>
      <w:r w:rsidR="00100488" w:rsidRPr="00FB246E">
        <w:rPr>
          <w:i/>
          <w:iCs/>
          <w:lang w:val="en-US"/>
        </w:rPr>
        <w:t xml:space="preserve"> – Part 2:</w:t>
      </w:r>
      <w:r w:rsidR="001F5A5B" w:rsidRPr="00FB246E">
        <w:rPr>
          <w:i/>
          <w:iCs/>
          <w:lang w:val="en-US"/>
        </w:rPr>
        <w:t xml:space="preserve"> Execution and site control</w:t>
      </w:r>
    </w:p>
    <w:p w14:paraId="619F2B20" w14:textId="11E19876" w:rsidR="00270AD2" w:rsidRPr="00857389" w:rsidRDefault="00270AD2" w:rsidP="00270AD2">
      <w:pPr>
        <w:pStyle w:val="Ttulo1"/>
        <w:rPr>
          <w:sz w:val="26"/>
          <w:szCs w:val="26"/>
        </w:rPr>
      </w:pPr>
      <w:r w:rsidRPr="00857389">
        <w:rPr>
          <w:sz w:val="26"/>
          <w:szCs w:val="26"/>
        </w:rPr>
        <w:t>Escopo</w:t>
      </w:r>
    </w:p>
    <w:p w14:paraId="39AD8F67" w14:textId="67A68EF0" w:rsidR="000B2D3F" w:rsidRPr="007F3836" w:rsidRDefault="000B2D3F" w:rsidP="000B2D3F">
      <w:r w:rsidRPr="007F3836">
        <w:t xml:space="preserve">Esta </w:t>
      </w:r>
      <w:r>
        <w:t>parte</w:t>
      </w:r>
      <w:r w:rsidR="003F1B69">
        <w:t xml:space="preserve"> </w:t>
      </w:r>
      <w:r>
        <w:t>da Norma</w:t>
      </w:r>
      <w:r w:rsidRPr="007F3836">
        <w:t xml:space="preserve"> estabelece os requisitos para </w:t>
      </w:r>
      <w:r w:rsidR="003F1B69" w:rsidRPr="007F3836">
        <w:t>a execução</w:t>
      </w:r>
      <w:r>
        <w:t xml:space="preserve"> e controle de obras</w:t>
      </w:r>
      <w:r w:rsidRPr="007F3836">
        <w:t xml:space="preserve"> de alvenaria</w:t>
      </w:r>
      <w:r>
        <w:t xml:space="preserve"> estrutural construída a partir do</w:t>
      </w:r>
      <w:r w:rsidRPr="007F3836">
        <w:t xml:space="preserve"> assentamento</w:t>
      </w:r>
      <w:r>
        <w:t xml:space="preserve"> de blocos</w:t>
      </w:r>
      <w:r w:rsidRPr="007F3836">
        <w:t xml:space="preserve"> </w:t>
      </w:r>
      <w:r>
        <w:t>com junta fina</w:t>
      </w:r>
      <w:r w:rsidRPr="007F3836">
        <w:t xml:space="preserve"> </w:t>
      </w:r>
      <w:r>
        <w:t>de</w:t>
      </w:r>
      <w:r w:rsidRPr="007F3836">
        <w:t xml:space="preserve"> composto polimérico</w:t>
      </w:r>
      <w:r w:rsidR="003F1B69">
        <w:t xml:space="preserve">, projetadas conforme </w:t>
      </w:r>
      <w:r w:rsidR="005F32C5" w:rsidRPr="005F32C5">
        <w:tab/>
      </w:r>
      <w:r w:rsidR="000036E9" w:rsidRPr="00FB246E">
        <w:rPr>
          <w:highlight w:val="yellow"/>
        </w:rPr>
        <w:t xml:space="preserve">TEXTO BASE </w:t>
      </w:r>
      <w:r w:rsidR="005F32C5" w:rsidRPr="00FB246E">
        <w:rPr>
          <w:highlight w:val="yellow"/>
        </w:rPr>
        <w:t>002:123.010-002</w:t>
      </w:r>
      <w:r w:rsidR="00FB246E" w:rsidRPr="00FB246E">
        <w:rPr>
          <w:highlight w:val="yellow"/>
        </w:rPr>
        <w:t>-2</w:t>
      </w:r>
      <w:r w:rsidR="003F1B69">
        <w:t>.</w:t>
      </w:r>
    </w:p>
    <w:p w14:paraId="3060E421" w14:textId="62BC888F" w:rsidR="00270AD2" w:rsidRPr="00857389" w:rsidRDefault="00270AD2" w:rsidP="00270AD2">
      <w:pPr>
        <w:pStyle w:val="Ttulo1"/>
        <w:rPr>
          <w:sz w:val="26"/>
          <w:szCs w:val="26"/>
        </w:rPr>
      </w:pPr>
      <w:r w:rsidRPr="00857389">
        <w:rPr>
          <w:sz w:val="26"/>
          <w:szCs w:val="26"/>
        </w:rPr>
        <w:t>Referências Normativas</w:t>
      </w:r>
    </w:p>
    <w:p w14:paraId="582F7E41" w14:textId="7BCCCFD9" w:rsidR="00270AD2" w:rsidRPr="00297EB6" w:rsidRDefault="00270AD2" w:rsidP="00ED1814">
      <w:r w:rsidRPr="00297EB6">
        <w:t xml:space="preserve">Os documentos a seguir são citados no texto de tal forma que seus conteúdos, totais ou parciais, constituem requisitos para </w:t>
      </w:r>
      <w:r w:rsidR="00AE4166" w:rsidRPr="00297EB6">
        <w:t>esta Norma.</w:t>
      </w:r>
      <w:r w:rsidR="00CC20A1" w:rsidRPr="00297EB6">
        <w:t xml:space="preserve"> </w:t>
      </w:r>
      <w:r w:rsidRPr="00297EB6">
        <w:t>Para referências datadas, aplicam-se somente as edições citadas. Para referências não datadas, aplicam-se as edições mais recentes do referido documento (incluindo emendas).</w:t>
      </w:r>
    </w:p>
    <w:p w14:paraId="0CCA9495" w14:textId="3D78F157" w:rsidR="006C3FEA" w:rsidRPr="00297EB6" w:rsidRDefault="006C3FEA" w:rsidP="00B92247">
      <w:pPr>
        <w:jc w:val="left"/>
        <w:rPr>
          <w:i/>
          <w:iCs/>
        </w:rPr>
      </w:pPr>
      <w:r w:rsidRPr="00297EB6">
        <w:rPr>
          <w:i/>
          <w:iCs/>
        </w:rPr>
        <w:t xml:space="preserve">ABNT NBR 6136, Blocos vazados de concreto simples para alvenaria </w:t>
      </w:r>
      <w:r w:rsidR="00C46F71" w:rsidRPr="00297EB6">
        <w:rPr>
          <w:i/>
          <w:iCs/>
        </w:rPr>
        <w:t>–</w:t>
      </w:r>
      <w:r w:rsidRPr="00297EB6">
        <w:rPr>
          <w:i/>
          <w:iCs/>
        </w:rPr>
        <w:t xml:space="preserve"> Requisitos</w:t>
      </w:r>
    </w:p>
    <w:p w14:paraId="1FB08675" w14:textId="29DF9B4D" w:rsidR="00BA3F93" w:rsidRPr="00297EB6" w:rsidRDefault="00BA3F93" w:rsidP="00B92247">
      <w:pPr>
        <w:jc w:val="left"/>
        <w:rPr>
          <w:i/>
          <w:iCs/>
        </w:rPr>
      </w:pPr>
      <w:r w:rsidRPr="00297EB6">
        <w:rPr>
          <w:i/>
          <w:iCs/>
        </w:rPr>
        <w:t xml:space="preserve">ABNT NBR </w:t>
      </w:r>
      <w:r w:rsidR="007C6FFF" w:rsidRPr="00297EB6">
        <w:rPr>
          <w:i/>
          <w:iCs/>
        </w:rPr>
        <w:t>7175, Cal hidratada para argamassas – Requisitos</w:t>
      </w:r>
    </w:p>
    <w:p w14:paraId="1699643C" w14:textId="1EF86C7F" w:rsidR="007B76EC" w:rsidRPr="00297EB6" w:rsidRDefault="007B76EC" w:rsidP="00B92247">
      <w:pPr>
        <w:jc w:val="left"/>
        <w:rPr>
          <w:i/>
          <w:iCs/>
        </w:rPr>
      </w:pPr>
      <w:r w:rsidRPr="00297EB6">
        <w:rPr>
          <w:i/>
          <w:iCs/>
        </w:rPr>
        <w:t xml:space="preserve">ABNT NBR 7211, </w:t>
      </w:r>
      <w:r w:rsidR="00DC1133" w:rsidRPr="00297EB6">
        <w:rPr>
          <w:i/>
          <w:iCs/>
        </w:rPr>
        <w:t>Agregados para concreto – Requisitos</w:t>
      </w:r>
    </w:p>
    <w:p w14:paraId="48E650A6" w14:textId="6DADCBC5" w:rsidR="006C3FEA" w:rsidRPr="00297EB6" w:rsidRDefault="006C3FEA" w:rsidP="00B92247">
      <w:pPr>
        <w:jc w:val="left"/>
        <w:rPr>
          <w:i/>
          <w:iCs/>
        </w:rPr>
      </w:pPr>
      <w:r w:rsidRPr="00297EB6">
        <w:rPr>
          <w:i/>
          <w:iCs/>
        </w:rPr>
        <w:t xml:space="preserve">ABNT NBR 12118, Blocos vazados de concreto simples para alvenaria </w:t>
      </w:r>
      <w:r w:rsidR="00C46F71" w:rsidRPr="00297EB6">
        <w:rPr>
          <w:i/>
          <w:iCs/>
        </w:rPr>
        <w:t>–</w:t>
      </w:r>
      <w:r w:rsidRPr="00297EB6">
        <w:rPr>
          <w:i/>
          <w:iCs/>
        </w:rPr>
        <w:t xml:space="preserve"> Métodos de ensaio</w:t>
      </w:r>
    </w:p>
    <w:p w14:paraId="0AD128CA" w14:textId="04A2D7D1" w:rsidR="00834DF4" w:rsidRPr="00297EB6" w:rsidRDefault="00834DF4" w:rsidP="00B92247">
      <w:pPr>
        <w:jc w:val="left"/>
        <w:rPr>
          <w:i/>
          <w:iCs/>
        </w:rPr>
      </w:pPr>
      <w:r w:rsidRPr="00297EB6">
        <w:t>ABNT NBR 13281-2,</w:t>
      </w:r>
      <w:r w:rsidRPr="00297EB6">
        <w:rPr>
          <w:i/>
          <w:iCs/>
        </w:rPr>
        <w:t xml:space="preserve"> Argamassas inorgânicas – Requisitos </w:t>
      </w:r>
      <w:r w:rsidR="000C18EE" w:rsidRPr="00297EB6">
        <w:rPr>
          <w:i/>
          <w:iCs/>
        </w:rPr>
        <w:t>e métodos de ensaios – Parte 2: Argamassas para assentamento e argamassas para fixação de alvenaria</w:t>
      </w:r>
    </w:p>
    <w:p w14:paraId="46B0CEA4" w14:textId="49ABD223" w:rsidR="006C3FEA" w:rsidRPr="00297EB6" w:rsidRDefault="006C3FEA" w:rsidP="00B92247">
      <w:pPr>
        <w:jc w:val="left"/>
        <w:rPr>
          <w:i/>
          <w:iCs/>
        </w:rPr>
      </w:pPr>
      <w:r w:rsidRPr="00297EB6">
        <w:t>ABNT NBR 15270</w:t>
      </w:r>
      <w:r w:rsidR="004758DB" w:rsidRPr="00297EB6">
        <w:t>-</w:t>
      </w:r>
      <w:r w:rsidR="007123D1" w:rsidRPr="00297EB6">
        <w:t>1</w:t>
      </w:r>
      <w:r w:rsidRPr="00297EB6">
        <w:t>,</w:t>
      </w:r>
      <w:r w:rsidRPr="00297EB6">
        <w:rPr>
          <w:i/>
          <w:iCs/>
        </w:rPr>
        <w:t xml:space="preserve"> Componentes cerâmicos </w:t>
      </w:r>
      <w:r w:rsidR="00C46F71" w:rsidRPr="00297EB6">
        <w:rPr>
          <w:i/>
          <w:iCs/>
        </w:rPr>
        <w:t>–</w:t>
      </w:r>
      <w:r w:rsidRPr="00297EB6">
        <w:rPr>
          <w:i/>
          <w:iCs/>
        </w:rPr>
        <w:t xml:space="preserve"> Blocos e tijolos para alvenaria</w:t>
      </w:r>
      <w:r w:rsidR="00E70F4E" w:rsidRPr="00297EB6">
        <w:rPr>
          <w:i/>
          <w:iCs/>
        </w:rPr>
        <w:t xml:space="preserve"> – Parte 1: Requisitos</w:t>
      </w:r>
    </w:p>
    <w:p w14:paraId="7147E82F" w14:textId="504F45CB" w:rsidR="00461F34" w:rsidRPr="00297EB6" w:rsidRDefault="00461F34" w:rsidP="00461F34">
      <w:pPr>
        <w:jc w:val="left"/>
        <w:rPr>
          <w:i/>
          <w:iCs/>
        </w:rPr>
      </w:pPr>
      <w:r w:rsidRPr="00297EB6">
        <w:t>ABNT NBR 15270-2</w:t>
      </w:r>
      <w:r w:rsidRPr="00297EB6">
        <w:rPr>
          <w:i/>
          <w:iCs/>
        </w:rPr>
        <w:t xml:space="preserve">, Componentes cerâmicos – Blocos e tijolos para alvenaria – Parte </w:t>
      </w:r>
      <w:r w:rsidR="001A5058" w:rsidRPr="00297EB6">
        <w:rPr>
          <w:i/>
          <w:iCs/>
        </w:rPr>
        <w:t>2</w:t>
      </w:r>
      <w:r w:rsidRPr="00297EB6">
        <w:rPr>
          <w:i/>
          <w:iCs/>
        </w:rPr>
        <w:t xml:space="preserve">: </w:t>
      </w:r>
      <w:r w:rsidR="001A5058" w:rsidRPr="00297EB6">
        <w:rPr>
          <w:i/>
          <w:iCs/>
        </w:rPr>
        <w:t>Métodos de ensaios</w:t>
      </w:r>
    </w:p>
    <w:p w14:paraId="73EFE27C" w14:textId="4DBEDA73" w:rsidR="006C3FEA" w:rsidRPr="00297EB6" w:rsidRDefault="006C3FEA" w:rsidP="00B92247">
      <w:pPr>
        <w:jc w:val="left"/>
        <w:rPr>
          <w:i/>
          <w:iCs/>
        </w:rPr>
      </w:pPr>
      <w:r w:rsidRPr="00297EB6">
        <w:t>ABNT NBR 16590</w:t>
      </w:r>
      <w:r w:rsidR="005453AB" w:rsidRPr="00297EB6">
        <w:t>-1</w:t>
      </w:r>
      <w:r w:rsidRPr="00297EB6">
        <w:t>,</w:t>
      </w:r>
      <w:r w:rsidRPr="00297EB6">
        <w:rPr>
          <w:i/>
          <w:iCs/>
        </w:rPr>
        <w:t xml:space="preserve"> Composto </w:t>
      </w:r>
      <w:r w:rsidR="00FB738F" w:rsidRPr="00297EB6">
        <w:rPr>
          <w:i/>
          <w:iCs/>
        </w:rPr>
        <w:t>p</w:t>
      </w:r>
      <w:r w:rsidRPr="00297EB6">
        <w:rPr>
          <w:i/>
          <w:iCs/>
        </w:rPr>
        <w:t xml:space="preserve">olimérico para </w:t>
      </w:r>
      <w:r w:rsidR="00FB738F" w:rsidRPr="00297EB6">
        <w:rPr>
          <w:i/>
          <w:iCs/>
        </w:rPr>
        <w:t>a</w:t>
      </w:r>
      <w:r w:rsidRPr="00297EB6">
        <w:rPr>
          <w:i/>
          <w:iCs/>
        </w:rPr>
        <w:t>ssentamento</w:t>
      </w:r>
      <w:r w:rsidR="00FB738F" w:rsidRPr="00297EB6">
        <w:rPr>
          <w:i/>
          <w:iCs/>
        </w:rPr>
        <w:t xml:space="preserve"> de alvenaria de vedação – Parte 1:</w:t>
      </w:r>
      <w:r w:rsidRPr="00297EB6">
        <w:rPr>
          <w:i/>
          <w:iCs/>
        </w:rPr>
        <w:t xml:space="preserve"> Requisitos</w:t>
      </w:r>
    </w:p>
    <w:p w14:paraId="4E6FA11E" w14:textId="37B00CBE" w:rsidR="00FB738F" w:rsidRPr="00297EB6" w:rsidRDefault="00FB738F" w:rsidP="00B92247">
      <w:pPr>
        <w:jc w:val="left"/>
        <w:rPr>
          <w:i/>
          <w:iCs/>
        </w:rPr>
      </w:pPr>
      <w:r w:rsidRPr="00297EB6">
        <w:t>ABNT NBR 16590-2,</w:t>
      </w:r>
      <w:r w:rsidRPr="00297EB6">
        <w:rPr>
          <w:i/>
          <w:iCs/>
        </w:rPr>
        <w:t xml:space="preserve"> Composto polimérico para assentamento de alvenaria de vedação – Parte 2: Métodos de ensaio</w:t>
      </w:r>
    </w:p>
    <w:p w14:paraId="2C08098A" w14:textId="02052659" w:rsidR="0042543E" w:rsidRPr="00297EB6" w:rsidRDefault="0042543E" w:rsidP="00B92247">
      <w:pPr>
        <w:jc w:val="left"/>
        <w:rPr>
          <w:i/>
          <w:iCs/>
        </w:rPr>
      </w:pPr>
      <w:r w:rsidRPr="00297EB6">
        <w:t>ABNT NBR 16697,</w:t>
      </w:r>
      <w:r w:rsidRPr="00297EB6">
        <w:rPr>
          <w:i/>
          <w:iCs/>
        </w:rPr>
        <w:t xml:space="preserve"> Cimento Portland – Requisitos</w:t>
      </w:r>
    </w:p>
    <w:p w14:paraId="4037A781" w14:textId="2B956261" w:rsidR="009821AE" w:rsidRPr="00297EB6" w:rsidRDefault="009821AE" w:rsidP="00B92247">
      <w:pPr>
        <w:jc w:val="left"/>
        <w:rPr>
          <w:i/>
          <w:iCs/>
        </w:rPr>
      </w:pPr>
      <w:r w:rsidRPr="00297EB6">
        <w:t>ABNT NBR 16868-2,</w:t>
      </w:r>
      <w:r w:rsidRPr="00297EB6">
        <w:rPr>
          <w:i/>
          <w:iCs/>
        </w:rPr>
        <w:t xml:space="preserve"> Alvenaria estrutural – Parte 2: Execução e controle de obras</w:t>
      </w:r>
    </w:p>
    <w:p w14:paraId="1FE0020C" w14:textId="5FBDDDF4" w:rsidR="00587B56" w:rsidRPr="00297EB6" w:rsidRDefault="00587B56" w:rsidP="00B92247">
      <w:pPr>
        <w:jc w:val="left"/>
        <w:rPr>
          <w:i/>
          <w:iCs/>
        </w:rPr>
      </w:pPr>
      <w:r w:rsidRPr="00297EB6">
        <w:t>ABNT NBR 16868-</w:t>
      </w:r>
      <w:r w:rsidR="0016626B" w:rsidRPr="00297EB6">
        <w:t>3</w:t>
      </w:r>
      <w:r w:rsidRPr="00297EB6">
        <w:t>,</w:t>
      </w:r>
      <w:r w:rsidRPr="00297EB6">
        <w:rPr>
          <w:i/>
          <w:iCs/>
        </w:rPr>
        <w:t xml:space="preserve"> Alvenaria estrutural – Parte </w:t>
      </w:r>
      <w:r w:rsidR="0016626B" w:rsidRPr="00297EB6">
        <w:rPr>
          <w:i/>
          <w:iCs/>
        </w:rPr>
        <w:t>3</w:t>
      </w:r>
      <w:r w:rsidRPr="00297EB6">
        <w:rPr>
          <w:i/>
          <w:iCs/>
        </w:rPr>
        <w:t xml:space="preserve">: </w:t>
      </w:r>
      <w:r w:rsidR="0016626B" w:rsidRPr="00297EB6">
        <w:rPr>
          <w:i/>
          <w:iCs/>
        </w:rPr>
        <w:t>Métodos de ensaio</w:t>
      </w:r>
    </w:p>
    <w:p w14:paraId="3F1881B5" w14:textId="0396BD48" w:rsidR="00270AD2" w:rsidRPr="00857389" w:rsidRDefault="00270AD2" w:rsidP="00270AD2">
      <w:pPr>
        <w:pStyle w:val="Ttulo1"/>
        <w:rPr>
          <w:sz w:val="26"/>
          <w:szCs w:val="26"/>
        </w:rPr>
      </w:pPr>
      <w:r w:rsidRPr="00857389">
        <w:rPr>
          <w:sz w:val="26"/>
          <w:szCs w:val="26"/>
        </w:rPr>
        <w:t>Termos e Definições</w:t>
      </w:r>
    </w:p>
    <w:p w14:paraId="54419A07" w14:textId="2F39223E" w:rsidR="00270AD2" w:rsidRPr="007F3836" w:rsidRDefault="00270AD2" w:rsidP="00270AD2">
      <w:r w:rsidRPr="007F3836">
        <w:t>Para os efeitos deste documento aplicam-se os termos e definições d</w:t>
      </w:r>
      <w:r w:rsidR="00356EC3">
        <w:t xml:space="preserve">o </w:t>
      </w:r>
      <w:r w:rsidR="00356EC3" w:rsidRPr="00FB246E">
        <w:rPr>
          <w:highlight w:val="yellow"/>
        </w:rPr>
        <w:t>TEXTO BASE 002:123.010-002</w:t>
      </w:r>
      <w:r w:rsidR="00356EC3" w:rsidRPr="00356EC3">
        <w:rPr>
          <w:highlight w:val="yellow"/>
        </w:rPr>
        <w:t>-1</w:t>
      </w:r>
      <w:r w:rsidR="0061095D">
        <w:t>.</w:t>
      </w:r>
    </w:p>
    <w:p w14:paraId="74CE4F8A" w14:textId="2304DF98" w:rsidR="00270AD2" w:rsidRPr="003711E0" w:rsidRDefault="00270AD2" w:rsidP="00270AD2">
      <w:pPr>
        <w:pStyle w:val="Ttulo1"/>
        <w:rPr>
          <w:sz w:val="26"/>
          <w:szCs w:val="26"/>
        </w:rPr>
      </w:pPr>
      <w:r w:rsidRPr="003711E0">
        <w:rPr>
          <w:sz w:val="26"/>
          <w:szCs w:val="26"/>
        </w:rPr>
        <w:lastRenderedPageBreak/>
        <w:t>Símbolos e Abreviaturas</w:t>
      </w:r>
    </w:p>
    <w:p w14:paraId="2599A95C" w14:textId="4322B821" w:rsidR="00B02D3E" w:rsidRPr="007F3836" w:rsidRDefault="00B02D3E" w:rsidP="00B02D3E">
      <w:r w:rsidRPr="000E572F">
        <w:t xml:space="preserve">Para os efeitos deste documento aplicam-se os </w:t>
      </w:r>
      <w:r w:rsidR="003F624B" w:rsidRPr="000E572F">
        <w:rPr>
          <w:w w:val="105"/>
        </w:rPr>
        <w:t>símbolos</w:t>
      </w:r>
      <w:r w:rsidR="003F624B" w:rsidRPr="000E572F">
        <w:rPr>
          <w:spacing w:val="-3"/>
          <w:w w:val="105"/>
        </w:rPr>
        <w:t xml:space="preserve"> </w:t>
      </w:r>
      <w:r w:rsidR="003F624B" w:rsidRPr="000E572F">
        <w:rPr>
          <w:w w:val="105"/>
        </w:rPr>
        <w:t>e</w:t>
      </w:r>
      <w:r w:rsidR="003F624B" w:rsidRPr="000E572F">
        <w:rPr>
          <w:spacing w:val="-7"/>
          <w:w w:val="105"/>
        </w:rPr>
        <w:t xml:space="preserve"> </w:t>
      </w:r>
      <w:r w:rsidR="003F624B" w:rsidRPr="000E572F">
        <w:rPr>
          <w:spacing w:val="-2"/>
          <w:w w:val="105"/>
        </w:rPr>
        <w:t>abreviaturas</w:t>
      </w:r>
      <w:r w:rsidR="003F624B" w:rsidRPr="000E572F">
        <w:t xml:space="preserve"> </w:t>
      </w:r>
      <w:r w:rsidRPr="000E572F">
        <w:t>do TEXTO BASE 002:123.010-002-1.</w:t>
      </w:r>
    </w:p>
    <w:p w14:paraId="1697E849" w14:textId="77777777" w:rsidR="00183D00" w:rsidRPr="00A67CDD" w:rsidRDefault="00183D00" w:rsidP="00183D00">
      <w:pPr>
        <w:pStyle w:val="Ttulo1"/>
        <w:rPr>
          <w:sz w:val="26"/>
          <w:szCs w:val="26"/>
        </w:rPr>
      </w:pPr>
      <w:bookmarkStart w:id="9" w:name="_Toc246478431"/>
      <w:bookmarkStart w:id="10" w:name="_Toc246478476"/>
      <w:bookmarkStart w:id="11" w:name="_Toc246478522"/>
      <w:bookmarkStart w:id="12" w:name="_Toc246478683"/>
      <w:bookmarkStart w:id="13" w:name="_Ref186208143"/>
      <w:bookmarkStart w:id="14" w:name="_Ref186212329"/>
      <w:r w:rsidRPr="00A67CDD">
        <w:rPr>
          <w:sz w:val="26"/>
          <w:szCs w:val="26"/>
        </w:rPr>
        <w:t>Requisitos do sistema de controle</w:t>
      </w:r>
      <w:bookmarkEnd w:id="9"/>
      <w:bookmarkEnd w:id="10"/>
      <w:bookmarkEnd w:id="11"/>
      <w:bookmarkEnd w:id="12"/>
    </w:p>
    <w:p w14:paraId="013727B7" w14:textId="37F21337" w:rsidR="00553FFB" w:rsidRPr="00A67CDD" w:rsidRDefault="00413923" w:rsidP="00297EB6">
      <w:pPr>
        <w:pStyle w:val="Ttulo2"/>
        <w:rPr>
          <w:sz w:val="24"/>
          <w:szCs w:val="24"/>
        </w:rPr>
      </w:pPr>
      <w:bookmarkStart w:id="15" w:name="_Ref186194343"/>
      <w:bookmarkEnd w:id="13"/>
      <w:bookmarkEnd w:id="14"/>
      <w:r w:rsidRPr="00A67CDD">
        <w:rPr>
          <w:sz w:val="24"/>
          <w:szCs w:val="24"/>
        </w:rPr>
        <w:t>Planejamento de controle</w:t>
      </w:r>
      <w:bookmarkEnd w:id="15"/>
    </w:p>
    <w:p w14:paraId="307C55E1" w14:textId="1AFD7532" w:rsidR="00E9271F" w:rsidRPr="00E9271F" w:rsidRDefault="00E9271F" w:rsidP="00553FFB">
      <w:r w:rsidRPr="00E9271F">
        <w:t>O controle da execução da alvenaria estrutural deve ser planejado, considerando-se, minimamente, os seguintes aspectos:</w:t>
      </w:r>
    </w:p>
    <w:p w14:paraId="2E05A9F6" w14:textId="0B4089AB" w:rsidR="00C47703" w:rsidRDefault="00E9271F" w:rsidP="00E836DF">
      <w:pPr>
        <w:pStyle w:val="PargrafodaLista"/>
        <w:numPr>
          <w:ilvl w:val="0"/>
          <w:numId w:val="2"/>
        </w:numPr>
        <w:ind w:left="357" w:hanging="357"/>
      </w:pPr>
      <w:r w:rsidRPr="00E9271F">
        <w:t xml:space="preserve">atendimento a um projeto estrutural elaborado conforme </w:t>
      </w:r>
      <w:r w:rsidR="00C47703">
        <w:t>esta norma</w:t>
      </w:r>
      <w:r w:rsidRPr="00E9271F">
        <w:t xml:space="preserve"> e devidamente compatibilizado com os projetos das demais especialidades técnicas;</w:t>
      </w:r>
    </w:p>
    <w:p w14:paraId="1B86C6B8" w14:textId="1F40521F" w:rsidR="00C47703" w:rsidRDefault="00E9271F" w:rsidP="00E836DF">
      <w:pPr>
        <w:pStyle w:val="PargrafodaLista"/>
        <w:numPr>
          <w:ilvl w:val="0"/>
          <w:numId w:val="2"/>
        </w:numPr>
        <w:ind w:left="357" w:hanging="357"/>
      </w:pPr>
      <w:r w:rsidRPr="00E9271F">
        <w:t>determinação dos responsáveis pela execução do controle e circulação das informações;</w:t>
      </w:r>
    </w:p>
    <w:p w14:paraId="347B5E65" w14:textId="1B9A9344" w:rsidR="00C47703" w:rsidRDefault="00E9271F" w:rsidP="00E836DF">
      <w:pPr>
        <w:pStyle w:val="PargrafodaLista"/>
        <w:numPr>
          <w:ilvl w:val="0"/>
          <w:numId w:val="2"/>
        </w:numPr>
        <w:ind w:left="357" w:hanging="357"/>
      </w:pPr>
      <w:r w:rsidRPr="00E9271F">
        <w:t>determinação dos responsáveis pelo tratamento e resolução das não conformidades;</w:t>
      </w:r>
    </w:p>
    <w:p w14:paraId="6B839C4B" w14:textId="6D2DD9CE" w:rsidR="00C47703" w:rsidRDefault="00E9271F" w:rsidP="00E836DF">
      <w:pPr>
        <w:pStyle w:val="PargrafodaLista"/>
        <w:numPr>
          <w:ilvl w:val="0"/>
          <w:numId w:val="2"/>
        </w:numPr>
        <w:ind w:left="357" w:hanging="357"/>
      </w:pPr>
      <w:r w:rsidRPr="00E9271F">
        <w:t>definição da forma de registro e arquivamento das informações;</w:t>
      </w:r>
    </w:p>
    <w:p w14:paraId="2CF768EA" w14:textId="7D237EFD" w:rsidR="00E9271F" w:rsidRPr="00E9271F" w:rsidRDefault="00E9271F" w:rsidP="00E836DF">
      <w:pPr>
        <w:pStyle w:val="PargrafodaLista"/>
        <w:numPr>
          <w:ilvl w:val="0"/>
          <w:numId w:val="2"/>
        </w:numPr>
        <w:ind w:left="357" w:hanging="357"/>
      </w:pPr>
      <w:r w:rsidRPr="00E9271F">
        <w:t>estabelecimento de procedimentos específicos para o controle dos materiais e componentes, do processo de execução da alvenaria e para a sua aceitação.</w:t>
      </w:r>
    </w:p>
    <w:p w14:paraId="517C643D" w14:textId="2E9C808D" w:rsidR="00413923" w:rsidRPr="00A67CDD" w:rsidRDefault="00413923" w:rsidP="00297EB6">
      <w:pPr>
        <w:pStyle w:val="Ttulo2"/>
        <w:rPr>
          <w:sz w:val="24"/>
          <w:szCs w:val="24"/>
        </w:rPr>
      </w:pPr>
      <w:r w:rsidRPr="00A67CDD">
        <w:rPr>
          <w:sz w:val="24"/>
          <w:szCs w:val="24"/>
        </w:rPr>
        <w:t>Procedimento</w:t>
      </w:r>
      <w:r w:rsidR="006C0CBC" w:rsidRPr="00A67CDD">
        <w:rPr>
          <w:sz w:val="24"/>
          <w:szCs w:val="24"/>
        </w:rPr>
        <w:t>s de controle</w:t>
      </w:r>
    </w:p>
    <w:p w14:paraId="25DEE1C6" w14:textId="52D9F05E" w:rsidR="002D1C88" w:rsidRPr="009F3004" w:rsidRDefault="002D1C88" w:rsidP="002D1C88">
      <w:r w:rsidRPr="009F3004">
        <w:t>Os procedimentos definidos em</w:t>
      </w:r>
      <w:r w:rsidR="00E56A8E" w:rsidRPr="009F3004">
        <w:t xml:space="preserve"> </w:t>
      </w:r>
      <w:r w:rsidR="00E56A8E" w:rsidRPr="009F3004">
        <w:fldChar w:fldCharType="begin"/>
      </w:r>
      <w:r w:rsidR="00E56A8E" w:rsidRPr="009F3004">
        <w:instrText xml:space="preserve"> REF _Ref186194343 \w \h </w:instrText>
      </w:r>
      <w:r w:rsidR="00C42C17" w:rsidRPr="009F3004">
        <w:instrText xml:space="preserve"> \* MERGEFORMAT </w:instrText>
      </w:r>
      <w:r w:rsidR="00E56A8E" w:rsidRPr="009F3004">
        <w:fldChar w:fldCharType="separate"/>
      </w:r>
      <w:r w:rsidR="00BB30C3" w:rsidRPr="009F3004">
        <w:t>5.1</w:t>
      </w:r>
      <w:r w:rsidR="00E56A8E" w:rsidRPr="009F3004">
        <w:fldChar w:fldCharType="end"/>
      </w:r>
      <w:r w:rsidR="00632BC2" w:rsidRPr="009F3004">
        <w:t>-e</w:t>
      </w:r>
      <w:r w:rsidRPr="009F3004">
        <w:t xml:space="preserve"> devem contemplar:</w:t>
      </w:r>
    </w:p>
    <w:p w14:paraId="467B6521" w14:textId="5B98F5C5" w:rsidR="003230D8" w:rsidRPr="009F3004" w:rsidRDefault="002D1C88" w:rsidP="00E836DF">
      <w:pPr>
        <w:pStyle w:val="PargrafodaLista"/>
        <w:numPr>
          <w:ilvl w:val="0"/>
          <w:numId w:val="3"/>
        </w:numPr>
        <w:ind w:left="539" w:hanging="539"/>
      </w:pPr>
      <w:r w:rsidRPr="009F3004">
        <w:t xml:space="preserve">controle dos materiais, componentes e </w:t>
      </w:r>
      <w:r w:rsidR="00CF1CD9" w:rsidRPr="009F3004">
        <w:t xml:space="preserve">elementos da </w:t>
      </w:r>
      <w:r w:rsidRPr="009F3004">
        <w:t>alvenaria, considerando:</w:t>
      </w:r>
    </w:p>
    <w:p w14:paraId="277C63AE" w14:textId="68DDE3E4" w:rsidR="003230D8" w:rsidRPr="009F3004" w:rsidRDefault="002D1C88" w:rsidP="00C42C17">
      <w:pPr>
        <w:pStyle w:val="PargrafodaLista"/>
        <w:numPr>
          <w:ilvl w:val="0"/>
          <w:numId w:val="4"/>
        </w:numPr>
        <w:ind w:left="714" w:hanging="357"/>
      </w:pPr>
      <w:r w:rsidRPr="009F3004">
        <w:t xml:space="preserve">especificações dos materiais e componentes, conforme Seção </w:t>
      </w:r>
      <w:r w:rsidR="00D076E9" w:rsidRPr="009F3004">
        <w:t>6</w:t>
      </w:r>
      <w:r w:rsidR="007872B5" w:rsidRPr="009F3004">
        <w:t>;</w:t>
      </w:r>
    </w:p>
    <w:p w14:paraId="517538D1" w14:textId="79BCBC4F" w:rsidR="003230D8" w:rsidRPr="009F3004" w:rsidRDefault="002D1C88" w:rsidP="00C42C17">
      <w:pPr>
        <w:pStyle w:val="PargrafodaLista"/>
        <w:numPr>
          <w:ilvl w:val="0"/>
          <w:numId w:val="4"/>
        </w:numPr>
        <w:ind w:left="714" w:hanging="357"/>
      </w:pPr>
      <w:r w:rsidRPr="009F3004">
        <w:t xml:space="preserve">recebimento e armazenamento dos materiais e componentes, conforme </w:t>
      </w:r>
      <w:r w:rsidR="007872B5" w:rsidRPr="009F3004">
        <w:fldChar w:fldCharType="begin"/>
      </w:r>
      <w:r w:rsidR="007872B5" w:rsidRPr="009F3004">
        <w:instrText xml:space="preserve"> REF _Ref186194661 \w \h </w:instrText>
      </w:r>
      <w:r w:rsidR="00A67CDD" w:rsidRPr="009F3004">
        <w:instrText xml:space="preserve"> \* MERGEFORMAT </w:instrText>
      </w:r>
      <w:r w:rsidR="007872B5" w:rsidRPr="009F3004">
        <w:fldChar w:fldCharType="separate"/>
      </w:r>
      <w:r w:rsidR="00BB30C3" w:rsidRPr="009F3004">
        <w:t>6.1</w:t>
      </w:r>
      <w:r w:rsidR="007872B5" w:rsidRPr="009F3004">
        <w:fldChar w:fldCharType="end"/>
      </w:r>
      <w:r w:rsidR="007872B5" w:rsidRPr="009F3004">
        <w:t>;</w:t>
      </w:r>
    </w:p>
    <w:p w14:paraId="728EA4EE" w14:textId="0D21D7E4" w:rsidR="00632BC2" w:rsidRPr="009F3004" w:rsidRDefault="002D1C88" w:rsidP="00C42C17">
      <w:pPr>
        <w:pStyle w:val="PargrafodaLista"/>
        <w:numPr>
          <w:ilvl w:val="0"/>
          <w:numId w:val="4"/>
        </w:numPr>
        <w:ind w:left="714" w:hanging="357"/>
      </w:pPr>
      <w:r w:rsidRPr="009F3004">
        <w:t xml:space="preserve">controle de produção do graute, conforme </w:t>
      </w:r>
      <w:r w:rsidR="00F20BED" w:rsidRPr="009F3004">
        <w:fldChar w:fldCharType="begin"/>
      </w:r>
      <w:r w:rsidR="00F20BED" w:rsidRPr="009F3004">
        <w:instrText xml:space="preserve"> REF _Ref186194738 \w \h </w:instrText>
      </w:r>
      <w:r w:rsidR="00A67CDD" w:rsidRPr="009F3004">
        <w:instrText xml:space="preserve"> \* MERGEFORMAT </w:instrText>
      </w:r>
      <w:r w:rsidR="00F20BED" w:rsidRPr="009F3004">
        <w:fldChar w:fldCharType="separate"/>
      </w:r>
      <w:r w:rsidR="00A808AD" w:rsidRPr="009F3004">
        <w:t>6.3</w:t>
      </w:r>
      <w:r w:rsidR="00F20BED" w:rsidRPr="009F3004">
        <w:fldChar w:fldCharType="end"/>
      </w:r>
      <w:r w:rsidR="00072162" w:rsidRPr="009F3004">
        <w:t>;</w:t>
      </w:r>
    </w:p>
    <w:p w14:paraId="4B4B51AF" w14:textId="41307437" w:rsidR="003230D8" w:rsidRPr="009F3004" w:rsidRDefault="002D1C88" w:rsidP="00C42C17">
      <w:pPr>
        <w:pStyle w:val="PargrafodaLista"/>
        <w:numPr>
          <w:ilvl w:val="0"/>
          <w:numId w:val="4"/>
        </w:numPr>
        <w:ind w:left="714" w:hanging="357"/>
      </w:pPr>
      <w:r w:rsidRPr="009F3004">
        <w:t xml:space="preserve">caracterização prévia dos materiais, componentes e </w:t>
      </w:r>
      <w:r w:rsidR="00306E68" w:rsidRPr="009F3004">
        <w:t xml:space="preserve">elementos da </w:t>
      </w:r>
      <w:r w:rsidRPr="009F3004">
        <w:t xml:space="preserve">alvenaria, conforme </w:t>
      </w:r>
      <w:r w:rsidR="00EB3D17" w:rsidRPr="009F3004">
        <w:fldChar w:fldCharType="begin"/>
      </w:r>
      <w:r w:rsidR="00EB3D17" w:rsidRPr="009F3004">
        <w:instrText xml:space="preserve"> REF _Ref186195102 \w \h </w:instrText>
      </w:r>
      <w:r w:rsidR="00A67CDD" w:rsidRPr="009F3004">
        <w:instrText xml:space="preserve"> \* MERGEFORMAT </w:instrText>
      </w:r>
      <w:r w:rsidR="00EB3D17" w:rsidRPr="009F3004">
        <w:fldChar w:fldCharType="separate"/>
      </w:r>
      <w:r w:rsidR="00BB30C3" w:rsidRPr="009F3004">
        <w:t>8.2</w:t>
      </w:r>
      <w:r w:rsidR="00EB3D17" w:rsidRPr="009F3004">
        <w:fldChar w:fldCharType="end"/>
      </w:r>
      <w:r w:rsidR="00EB3D17" w:rsidRPr="009F3004">
        <w:t>;</w:t>
      </w:r>
    </w:p>
    <w:p w14:paraId="728821DF" w14:textId="36AE30EC" w:rsidR="002D1C88" w:rsidRPr="009F3004" w:rsidRDefault="002D1C88" w:rsidP="00C42C17">
      <w:pPr>
        <w:pStyle w:val="PargrafodaLista"/>
        <w:numPr>
          <w:ilvl w:val="0"/>
          <w:numId w:val="4"/>
        </w:numPr>
        <w:ind w:left="714" w:hanging="357"/>
      </w:pPr>
      <w:r w:rsidRPr="009F3004">
        <w:t>controle</w:t>
      </w:r>
      <w:r w:rsidR="00427411" w:rsidRPr="009F3004">
        <w:t xml:space="preserve"> do recebimento dos materiais, componentes e elementos</w:t>
      </w:r>
      <w:r w:rsidRPr="009F3004">
        <w:t>:</w:t>
      </w:r>
    </w:p>
    <w:p w14:paraId="6B886A03" w14:textId="27F0891B" w:rsidR="002D1C88" w:rsidRPr="009F3004" w:rsidRDefault="002D1C88" w:rsidP="000D6891">
      <w:pPr>
        <w:pStyle w:val="PargrafodaLista"/>
        <w:numPr>
          <w:ilvl w:val="1"/>
          <w:numId w:val="5"/>
        </w:numPr>
        <w:ind w:left="1560"/>
      </w:pPr>
      <w:r w:rsidRPr="009F3004">
        <w:t xml:space="preserve">dos blocos, quando aplicável, conforme </w:t>
      </w:r>
      <w:r w:rsidR="001D6E5A" w:rsidRPr="009F3004">
        <w:t>8</w:t>
      </w:r>
      <w:r w:rsidR="00392097" w:rsidRPr="009F3004">
        <w:t>.3</w:t>
      </w:r>
      <w:r w:rsidR="00DD22C1" w:rsidRPr="009F3004">
        <w:t>;</w:t>
      </w:r>
    </w:p>
    <w:p w14:paraId="512CF053" w14:textId="19C619CD" w:rsidR="00863955" w:rsidRPr="009F3004" w:rsidRDefault="002D1C88" w:rsidP="000D6891">
      <w:pPr>
        <w:pStyle w:val="PargrafodaLista"/>
        <w:numPr>
          <w:ilvl w:val="1"/>
          <w:numId w:val="5"/>
        </w:numPr>
        <w:ind w:left="1560"/>
      </w:pPr>
      <w:r w:rsidRPr="009F3004">
        <w:t>d</w:t>
      </w:r>
      <w:r w:rsidR="00DD22C1" w:rsidRPr="009F3004">
        <w:t>o composto polimérico</w:t>
      </w:r>
      <w:r w:rsidR="00863955" w:rsidRPr="009F3004">
        <w:t xml:space="preserve">, quando aplicável, conforme </w:t>
      </w:r>
      <w:r w:rsidR="001D6E5A" w:rsidRPr="009F3004">
        <w:t>8</w:t>
      </w:r>
      <w:r w:rsidR="00392097" w:rsidRPr="009F3004">
        <w:t>.2</w:t>
      </w:r>
      <w:r w:rsidR="00863955" w:rsidRPr="009F3004">
        <w:t>;</w:t>
      </w:r>
    </w:p>
    <w:p w14:paraId="56D57C72" w14:textId="0ED227B9" w:rsidR="00ED2B9E" w:rsidRPr="009F3004" w:rsidRDefault="00ED2B9E" w:rsidP="000D6891">
      <w:pPr>
        <w:pStyle w:val="PargrafodaLista"/>
        <w:numPr>
          <w:ilvl w:val="1"/>
          <w:numId w:val="5"/>
        </w:numPr>
        <w:ind w:left="1560"/>
      </w:pPr>
      <w:r w:rsidRPr="009F3004">
        <w:t xml:space="preserve">da </w:t>
      </w:r>
      <w:r w:rsidR="001262DE" w:rsidRPr="009F3004">
        <w:t>argamassa cimentícia</w:t>
      </w:r>
      <w:r w:rsidR="002B6153" w:rsidRPr="009F3004">
        <w:t xml:space="preserve">, quando aplicável, conforme </w:t>
      </w:r>
      <w:r w:rsidR="001D6E5A" w:rsidRPr="009F3004">
        <w:t>8</w:t>
      </w:r>
      <w:r w:rsidR="00392097" w:rsidRPr="009F3004">
        <w:t>.3</w:t>
      </w:r>
      <w:r w:rsidR="002B6153" w:rsidRPr="009F3004">
        <w:t>;</w:t>
      </w:r>
    </w:p>
    <w:p w14:paraId="6B57D49F" w14:textId="5A4E15E5" w:rsidR="002D1C88" w:rsidRPr="009F3004" w:rsidRDefault="002D1C88" w:rsidP="000D6891">
      <w:pPr>
        <w:pStyle w:val="PargrafodaLista"/>
        <w:numPr>
          <w:ilvl w:val="1"/>
          <w:numId w:val="5"/>
        </w:numPr>
        <w:ind w:left="1560"/>
      </w:pPr>
      <w:r w:rsidRPr="009F3004">
        <w:t xml:space="preserve">do graute, conforme </w:t>
      </w:r>
      <w:r w:rsidR="001D6E5A" w:rsidRPr="009F3004">
        <w:t>8</w:t>
      </w:r>
      <w:r w:rsidR="00392097" w:rsidRPr="009F3004">
        <w:t>.3</w:t>
      </w:r>
      <w:r w:rsidR="00486D5A" w:rsidRPr="009F3004">
        <w:t>;</w:t>
      </w:r>
    </w:p>
    <w:p w14:paraId="4DD956AC" w14:textId="14C08F86" w:rsidR="002D1C88" w:rsidRPr="009F3004" w:rsidRDefault="002D1C88" w:rsidP="000D6891">
      <w:pPr>
        <w:pStyle w:val="PargrafodaLista"/>
        <w:numPr>
          <w:ilvl w:val="1"/>
          <w:numId w:val="5"/>
        </w:numPr>
        <w:ind w:left="1560"/>
      </w:pPr>
      <w:r w:rsidRPr="009F3004">
        <w:t>da resistência do prisma</w:t>
      </w:r>
      <w:r w:rsidR="00F23246" w:rsidRPr="009F3004">
        <w:t xml:space="preserve"> ou pequena parede</w:t>
      </w:r>
      <w:r w:rsidRPr="009F3004">
        <w:t xml:space="preserve">, conforme </w:t>
      </w:r>
      <w:r w:rsidR="00486D5A" w:rsidRPr="009F3004">
        <w:fldChar w:fldCharType="begin"/>
      </w:r>
      <w:r w:rsidR="00486D5A" w:rsidRPr="009F3004">
        <w:instrText xml:space="preserve"> REF _Ref186195422 \w \h </w:instrText>
      </w:r>
      <w:r w:rsidR="00A67CDD" w:rsidRPr="009F3004">
        <w:instrText xml:space="preserve"> \* MERGEFORMAT </w:instrText>
      </w:r>
      <w:r w:rsidR="00486D5A" w:rsidRPr="009F3004">
        <w:fldChar w:fldCharType="separate"/>
      </w:r>
      <w:r w:rsidR="00BB30C3" w:rsidRPr="009F3004">
        <w:t>8.4</w:t>
      </w:r>
      <w:r w:rsidR="00486D5A" w:rsidRPr="009F3004">
        <w:fldChar w:fldCharType="end"/>
      </w:r>
      <w:r w:rsidRPr="009F3004">
        <w:t>.</w:t>
      </w:r>
    </w:p>
    <w:p w14:paraId="1BC2E48E" w14:textId="4B56091D" w:rsidR="001E4D9A" w:rsidRPr="001E4D9A" w:rsidRDefault="001E4D9A" w:rsidP="00C42C17">
      <w:pPr>
        <w:pStyle w:val="PargrafodaLista"/>
        <w:numPr>
          <w:ilvl w:val="0"/>
          <w:numId w:val="3"/>
        </w:numPr>
        <w:ind w:left="539" w:hanging="539"/>
      </w:pPr>
      <w:r w:rsidRPr="001E4D9A">
        <w:t>controle do processo de execução da alvenaria, considerando:</w:t>
      </w:r>
    </w:p>
    <w:p w14:paraId="1EC6DA3A" w14:textId="7A49355F" w:rsidR="001E4D9A" w:rsidRPr="009F3004" w:rsidRDefault="001E4D9A" w:rsidP="00C42C17">
      <w:pPr>
        <w:pStyle w:val="PargrafodaLista"/>
        <w:numPr>
          <w:ilvl w:val="0"/>
          <w:numId w:val="4"/>
        </w:numPr>
        <w:ind w:left="714" w:hanging="357"/>
      </w:pPr>
      <w:r w:rsidRPr="009F3004">
        <w:lastRenderedPageBreak/>
        <w:t xml:space="preserve">locação das paredes, conforme </w:t>
      </w:r>
      <w:r w:rsidR="00B33805" w:rsidRPr="009F3004">
        <w:fldChar w:fldCharType="begin"/>
      </w:r>
      <w:r w:rsidR="00B33805" w:rsidRPr="009F3004">
        <w:instrText xml:space="preserve"> REF _Ref186195445 \w \h </w:instrText>
      </w:r>
      <w:r w:rsidR="00A67CDD" w:rsidRPr="009F3004">
        <w:instrText xml:space="preserve"> \* MERGEFORMAT </w:instrText>
      </w:r>
      <w:r w:rsidR="00B33805" w:rsidRPr="009F3004">
        <w:fldChar w:fldCharType="separate"/>
      </w:r>
      <w:r w:rsidR="00BB30C3" w:rsidRPr="009F3004">
        <w:t>9.2</w:t>
      </w:r>
      <w:r w:rsidR="00B33805" w:rsidRPr="009F3004">
        <w:fldChar w:fldCharType="end"/>
      </w:r>
      <w:r w:rsidR="00B33805" w:rsidRPr="009F3004">
        <w:t>;</w:t>
      </w:r>
    </w:p>
    <w:p w14:paraId="4DAEB737" w14:textId="4B69A304" w:rsidR="001E4D9A" w:rsidRPr="009F3004" w:rsidRDefault="001E4D9A" w:rsidP="00C42C17">
      <w:pPr>
        <w:pStyle w:val="PargrafodaLista"/>
        <w:numPr>
          <w:ilvl w:val="0"/>
          <w:numId w:val="4"/>
        </w:numPr>
        <w:ind w:left="714" w:hanging="357"/>
      </w:pPr>
      <w:r w:rsidRPr="009F3004">
        <w:t xml:space="preserve">elevação das paredes, conforme </w:t>
      </w:r>
      <w:r w:rsidR="00C315BB" w:rsidRPr="009F3004">
        <w:t>9.</w:t>
      </w:r>
      <w:r w:rsidR="00CF7B48" w:rsidRPr="009F3004">
        <w:t>3</w:t>
      </w:r>
      <w:r w:rsidR="00B33805" w:rsidRPr="009F3004">
        <w:t>;</w:t>
      </w:r>
    </w:p>
    <w:p w14:paraId="6AC369A7" w14:textId="06849D9A" w:rsidR="003576E7" w:rsidRPr="009F3004" w:rsidRDefault="003576E7" w:rsidP="00C42C17">
      <w:pPr>
        <w:pStyle w:val="PargrafodaLista"/>
        <w:numPr>
          <w:ilvl w:val="0"/>
          <w:numId w:val="4"/>
        </w:numPr>
        <w:ind w:left="714" w:hanging="357"/>
      </w:pPr>
      <w:r w:rsidRPr="009F3004">
        <w:t>vigas, contravergas e cintas, conforme 9.4;</w:t>
      </w:r>
    </w:p>
    <w:p w14:paraId="6FC58FDE" w14:textId="57534013" w:rsidR="003576E7" w:rsidRPr="009F3004" w:rsidRDefault="003576E7" w:rsidP="00C42C17">
      <w:pPr>
        <w:pStyle w:val="PargrafodaLista"/>
        <w:numPr>
          <w:ilvl w:val="0"/>
          <w:numId w:val="4"/>
        </w:numPr>
        <w:ind w:left="714" w:hanging="357"/>
      </w:pPr>
      <w:r w:rsidRPr="009F3004">
        <w:t>armaduras, conforme 9.5;</w:t>
      </w:r>
    </w:p>
    <w:p w14:paraId="42B79225" w14:textId="6EBFA091" w:rsidR="001E4D9A" w:rsidRPr="009F3004" w:rsidRDefault="001E4D9A" w:rsidP="00C42C17">
      <w:pPr>
        <w:pStyle w:val="PargrafodaLista"/>
        <w:numPr>
          <w:ilvl w:val="0"/>
          <w:numId w:val="4"/>
        </w:numPr>
        <w:ind w:left="714" w:hanging="357"/>
      </w:pPr>
      <w:proofErr w:type="spellStart"/>
      <w:r w:rsidRPr="009F3004">
        <w:t>grauteamento</w:t>
      </w:r>
      <w:proofErr w:type="spellEnd"/>
      <w:r w:rsidRPr="009F3004">
        <w:t xml:space="preserve">, conforme </w:t>
      </w:r>
      <w:r w:rsidR="00057EDD" w:rsidRPr="009F3004">
        <w:fldChar w:fldCharType="begin"/>
      </w:r>
      <w:r w:rsidR="00057EDD" w:rsidRPr="009F3004">
        <w:instrText xml:space="preserve"> REF _Ref186194738 \w \h </w:instrText>
      </w:r>
      <w:r w:rsidR="00A67CDD" w:rsidRPr="009F3004">
        <w:instrText xml:space="preserve"> \* MERGEFORMAT </w:instrText>
      </w:r>
      <w:r w:rsidR="00057EDD" w:rsidRPr="009F3004">
        <w:fldChar w:fldCharType="separate"/>
      </w:r>
      <w:r w:rsidR="00BB30C3" w:rsidRPr="009F3004">
        <w:t>9.6</w:t>
      </w:r>
      <w:r w:rsidR="00057EDD" w:rsidRPr="009F3004">
        <w:fldChar w:fldCharType="end"/>
      </w:r>
      <w:r w:rsidR="00057EDD" w:rsidRPr="009F3004">
        <w:t>;</w:t>
      </w:r>
    </w:p>
    <w:p w14:paraId="18211BC7" w14:textId="396F0D5D" w:rsidR="001E4D9A" w:rsidRPr="009F3004" w:rsidRDefault="001E4D9A" w:rsidP="00A945AC">
      <w:pPr>
        <w:pStyle w:val="PargrafodaLista"/>
        <w:numPr>
          <w:ilvl w:val="0"/>
          <w:numId w:val="3"/>
        </w:numPr>
        <w:spacing w:after="0"/>
        <w:ind w:left="539" w:hanging="539"/>
      </w:pPr>
      <w:r w:rsidRPr="009F3004">
        <w:t xml:space="preserve">aceitação da alvenaria, conforme </w:t>
      </w:r>
      <w:r w:rsidR="00401C13" w:rsidRPr="009F3004">
        <w:fldChar w:fldCharType="begin"/>
      </w:r>
      <w:r w:rsidR="00401C13" w:rsidRPr="009F3004">
        <w:instrText xml:space="preserve"> REF _Ref186195504 \w \h </w:instrText>
      </w:r>
      <w:r w:rsidR="00A67CDD" w:rsidRPr="009F3004">
        <w:instrText xml:space="preserve"> \* MERGEFORMAT </w:instrText>
      </w:r>
      <w:r w:rsidR="00401C13" w:rsidRPr="009F3004">
        <w:fldChar w:fldCharType="separate"/>
      </w:r>
      <w:r w:rsidR="00BB30C3" w:rsidRPr="009F3004">
        <w:t>9.3</w:t>
      </w:r>
      <w:r w:rsidR="00401C13" w:rsidRPr="009F3004">
        <w:fldChar w:fldCharType="end"/>
      </w:r>
      <w:r w:rsidR="00401C13" w:rsidRPr="009F3004">
        <w:t>.</w:t>
      </w:r>
    </w:p>
    <w:p w14:paraId="32A4B17A" w14:textId="77777777" w:rsidR="00820946" w:rsidRPr="009F3004" w:rsidRDefault="00820946" w:rsidP="00A67CDD">
      <w:pPr>
        <w:spacing w:after="0"/>
      </w:pPr>
      <w:bookmarkStart w:id="16" w:name="_Toc216438946"/>
      <w:bookmarkEnd w:id="16"/>
    </w:p>
    <w:p w14:paraId="3C7C044A" w14:textId="77777777" w:rsidR="00101C34" w:rsidRPr="009F3004" w:rsidRDefault="00101C34" w:rsidP="00101C34">
      <w:pPr>
        <w:pStyle w:val="Ttulo1"/>
        <w:rPr>
          <w:sz w:val="26"/>
          <w:szCs w:val="26"/>
        </w:rPr>
      </w:pPr>
      <w:bookmarkStart w:id="17" w:name="_Toc246478439"/>
      <w:bookmarkStart w:id="18" w:name="_Toc246478484"/>
      <w:bookmarkStart w:id="19" w:name="_Toc246478530"/>
      <w:bookmarkStart w:id="20" w:name="_Toc246478691"/>
      <w:r w:rsidRPr="009F3004">
        <w:rPr>
          <w:sz w:val="26"/>
          <w:szCs w:val="26"/>
        </w:rPr>
        <w:t>Recebimento dos materiais</w:t>
      </w:r>
      <w:bookmarkEnd w:id="17"/>
      <w:bookmarkEnd w:id="18"/>
      <w:bookmarkEnd w:id="19"/>
      <w:bookmarkEnd w:id="20"/>
    </w:p>
    <w:p w14:paraId="2107B4A8" w14:textId="07555053" w:rsidR="006C0CBC" w:rsidRPr="009F3004" w:rsidRDefault="00EF408A" w:rsidP="00297EB6">
      <w:pPr>
        <w:pStyle w:val="Ttulo2"/>
        <w:rPr>
          <w:sz w:val="24"/>
          <w:szCs w:val="24"/>
        </w:rPr>
      </w:pPr>
      <w:bookmarkStart w:id="21" w:name="_Toc246478440"/>
      <w:bookmarkStart w:id="22" w:name="_Toc246478485"/>
      <w:bookmarkStart w:id="23" w:name="_Toc246478531"/>
      <w:bookmarkStart w:id="24" w:name="_Toc246478692"/>
      <w:bookmarkStart w:id="25" w:name="_Ref186194661"/>
      <w:r w:rsidRPr="009F3004">
        <w:rPr>
          <w:sz w:val="24"/>
          <w:szCs w:val="24"/>
        </w:rPr>
        <w:t>Disposições gerais</w:t>
      </w:r>
      <w:bookmarkEnd w:id="21"/>
      <w:bookmarkEnd w:id="22"/>
      <w:bookmarkEnd w:id="23"/>
      <w:bookmarkEnd w:id="24"/>
      <w:bookmarkEnd w:id="25"/>
    </w:p>
    <w:p w14:paraId="4B4B188D" w14:textId="17B8E7F4" w:rsidR="00B1684E" w:rsidRPr="00A945AC" w:rsidRDefault="00B1684E" w:rsidP="000D6891">
      <w:pPr>
        <w:pStyle w:val="PargrafodaLista"/>
        <w:numPr>
          <w:ilvl w:val="0"/>
          <w:numId w:val="6"/>
        </w:numPr>
        <w:ind w:left="357" w:hanging="357"/>
      </w:pPr>
      <w:r w:rsidRPr="00A945AC">
        <w:t>Todos os materiais e componentes devem ser inspecionados no recebimento, de forma a detectar não conformidades.</w:t>
      </w:r>
    </w:p>
    <w:p w14:paraId="1AF9A68D" w14:textId="2BA74945" w:rsidR="00B1684E" w:rsidRPr="00A945AC" w:rsidRDefault="00B1684E" w:rsidP="000D6891">
      <w:pPr>
        <w:pStyle w:val="PargrafodaLista"/>
        <w:numPr>
          <w:ilvl w:val="0"/>
          <w:numId w:val="6"/>
        </w:numPr>
        <w:ind w:left="357" w:hanging="357"/>
      </w:pPr>
      <w:r w:rsidRPr="00A945AC">
        <w:t xml:space="preserve">Os materiais e componentes devem ser armazenados de forma que permita a sua </w:t>
      </w:r>
      <w:proofErr w:type="spellStart"/>
      <w:r w:rsidRPr="00A945AC">
        <w:t>reinspeção</w:t>
      </w:r>
      <w:proofErr w:type="spellEnd"/>
      <w:r w:rsidRPr="00A945AC">
        <w:t xml:space="preserve"> a qualquer momento e sejam identificados conforme o controle a ser realizado.</w:t>
      </w:r>
    </w:p>
    <w:p w14:paraId="76773414" w14:textId="34089A33" w:rsidR="00B1684E" w:rsidRPr="00DE2E50" w:rsidRDefault="00B1684E" w:rsidP="000D6891">
      <w:pPr>
        <w:pStyle w:val="PargrafodaLista"/>
        <w:numPr>
          <w:ilvl w:val="0"/>
          <w:numId w:val="6"/>
        </w:numPr>
        <w:ind w:left="357" w:hanging="357"/>
      </w:pPr>
      <w:r w:rsidRPr="00A945AC">
        <w:t>No caso de materiais com prazo de validade (</w:t>
      </w:r>
      <w:r w:rsidR="00702598" w:rsidRPr="00A945AC">
        <w:t>composto polimérico</w:t>
      </w:r>
      <w:r w:rsidR="001C2203" w:rsidRPr="00A945AC">
        <w:t>, argamassa</w:t>
      </w:r>
      <w:r w:rsidRPr="00A945AC">
        <w:t xml:space="preserve"> e graute industrializado</w:t>
      </w:r>
      <w:r w:rsidRPr="00DE2E50">
        <w:t>), deve-se atentar para que o seu armazenamento permita a utilização daqueles com o prazo mais próximo de expirar.</w:t>
      </w:r>
    </w:p>
    <w:p w14:paraId="697F06B7" w14:textId="0C88C188" w:rsidR="007740E4" w:rsidRPr="009F3004" w:rsidRDefault="00BF4932" w:rsidP="00297EB6">
      <w:pPr>
        <w:pStyle w:val="Ttulo2"/>
        <w:rPr>
          <w:sz w:val="24"/>
          <w:szCs w:val="24"/>
        </w:rPr>
      </w:pPr>
      <w:r w:rsidRPr="009F3004">
        <w:rPr>
          <w:sz w:val="24"/>
          <w:szCs w:val="24"/>
        </w:rPr>
        <w:t>Composto polimérico não cimentício</w:t>
      </w:r>
    </w:p>
    <w:p w14:paraId="3E01AC39" w14:textId="26F71FDB" w:rsidR="00582F7D" w:rsidRPr="009F3004" w:rsidRDefault="00582F7D" w:rsidP="00297EB6">
      <w:pPr>
        <w:pStyle w:val="Ttulo3"/>
        <w:rPr>
          <w:i w:val="0"/>
          <w:iCs/>
        </w:rPr>
      </w:pPr>
      <w:r w:rsidRPr="009F3004">
        <w:rPr>
          <w:i w:val="0"/>
          <w:iCs/>
        </w:rPr>
        <w:t>Recebimento</w:t>
      </w:r>
    </w:p>
    <w:p w14:paraId="3BA95369" w14:textId="65501647" w:rsidR="00022D0B" w:rsidRPr="009F3004" w:rsidRDefault="00022D0B" w:rsidP="00022D0B">
      <w:r w:rsidRPr="009F3004">
        <w:t xml:space="preserve">O composto polimérico não cimentício deve </w:t>
      </w:r>
      <w:r w:rsidR="00C966C1" w:rsidRPr="009F3004">
        <w:t xml:space="preserve">atender </w:t>
      </w:r>
      <w:r w:rsidR="00021577" w:rsidRPr="009F3004">
        <w:t>aos requisitos</w:t>
      </w:r>
      <w:r w:rsidRPr="009F3004">
        <w:t xml:space="preserve"> da</w:t>
      </w:r>
      <w:r w:rsidR="00CA3E4E" w:rsidRPr="009F3004">
        <w:br/>
      </w:r>
      <w:r w:rsidRPr="009F3004">
        <w:t>ABNT NBR 16590-1.</w:t>
      </w:r>
    </w:p>
    <w:p w14:paraId="6884A453" w14:textId="1A59FAE0" w:rsidR="00582F7D" w:rsidRPr="009F3004" w:rsidRDefault="00582F7D" w:rsidP="00297EB6">
      <w:pPr>
        <w:pStyle w:val="Ttulo3"/>
        <w:rPr>
          <w:i w:val="0"/>
          <w:iCs/>
        </w:rPr>
      </w:pPr>
      <w:r w:rsidRPr="009F3004">
        <w:rPr>
          <w:i w:val="0"/>
          <w:iCs/>
        </w:rPr>
        <w:t>Armazenamento</w:t>
      </w:r>
    </w:p>
    <w:p w14:paraId="597292B2" w14:textId="77777777" w:rsidR="006033FA" w:rsidRPr="009F3004" w:rsidRDefault="00C52CA4" w:rsidP="006D58C7">
      <w:r w:rsidRPr="009F3004">
        <w:t xml:space="preserve">O material deve ser armazenado em local </w:t>
      </w:r>
      <w:r w:rsidR="00232EA4" w:rsidRPr="009F3004">
        <w:t>seco</w:t>
      </w:r>
      <w:r w:rsidR="00040D3D" w:rsidRPr="009F3004">
        <w:t>, fresco</w:t>
      </w:r>
      <w:r w:rsidR="00232EA4" w:rsidRPr="009F3004">
        <w:t xml:space="preserve"> e </w:t>
      </w:r>
      <w:r w:rsidR="006B5C1C" w:rsidRPr="009F3004">
        <w:t>coberto, de maneira a evitar a incidência de sol e chuva diretamente sobre as embalagens</w:t>
      </w:r>
      <w:r w:rsidR="006033FA" w:rsidRPr="009F3004">
        <w:t>.</w:t>
      </w:r>
    </w:p>
    <w:p w14:paraId="349981A7" w14:textId="7E8EB172" w:rsidR="006033FA" w:rsidRPr="009F3004" w:rsidRDefault="006033FA" w:rsidP="006033FA">
      <w:r w:rsidRPr="009F3004">
        <w:t xml:space="preserve">As embalagens devem ser </w:t>
      </w:r>
      <w:r w:rsidR="007273DE" w:rsidRPr="009F3004">
        <w:t>armazenadas</w:t>
      </w:r>
      <w:r w:rsidRPr="009F3004">
        <w:t xml:space="preserve"> sobre lajes devidamente cimbradas ou sobre o solo, desde que seja evitada a contaminação direta ou indireta por ação da capilaridade da água.</w:t>
      </w:r>
    </w:p>
    <w:p w14:paraId="6EE45D24" w14:textId="77777777" w:rsidR="007273DE" w:rsidRPr="009F3004" w:rsidRDefault="00F65885" w:rsidP="00A17045">
      <w:r w:rsidRPr="009F3004">
        <w:t xml:space="preserve">O empilhamento máximo de caixas e embalagens indicado pelo fabricante deve ser respeitado. </w:t>
      </w:r>
    </w:p>
    <w:p w14:paraId="69C0830E" w14:textId="35F2376E" w:rsidR="009F3004" w:rsidRDefault="006D58C7" w:rsidP="00A17045">
      <w:r w:rsidRPr="009F3004">
        <w:t>Produtos distintos devem sempre ser armazenados de forma segregada, organizados por lote e tipo, a fim de evitar misturas acidentais. A ordem de utilização deve seguir a sequência de recebimento, priorizando o uso dos produtos mais antigos.</w:t>
      </w:r>
    </w:p>
    <w:p w14:paraId="284541BE" w14:textId="77777777" w:rsidR="009F3004" w:rsidRDefault="009F3004">
      <w:pPr>
        <w:spacing w:line="240" w:lineRule="auto"/>
        <w:jc w:val="left"/>
      </w:pPr>
      <w:r>
        <w:br w:type="page"/>
      </w:r>
    </w:p>
    <w:p w14:paraId="67FB09E7" w14:textId="39F011F7" w:rsidR="002E1387" w:rsidRPr="00CA3E4E" w:rsidRDefault="00C11684" w:rsidP="00297EB6">
      <w:pPr>
        <w:pStyle w:val="Ttulo2"/>
        <w:rPr>
          <w:sz w:val="24"/>
          <w:szCs w:val="24"/>
        </w:rPr>
      </w:pPr>
      <w:r w:rsidRPr="00CA3E4E">
        <w:rPr>
          <w:sz w:val="24"/>
          <w:szCs w:val="24"/>
        </w:rPr>
        <w:lastRenderedPageBreak/>
        <w:t xml:space="preserve">Blocos, </w:t>
      </w:r>
      <w:r w:rsidR="002E1387" w:rsidRPr="00CA3E4E">
        <w:rPr>
          <w:sz w:val="24"/>
          <w:szCs w:val="24"/>
        </w:rPr>
        <w:t>Graute</w:t>
      </w:r>
      <w:r w:rsidRPr="00CA3E4E">
        <w:rPr>
          <w:sz w:val="24"/>
          <w:szCs w:val="24"/>
        </w:rPr>
        <w:t xml:space="preserve">, Argamassa Cimentícia, </w:t>
      </w:r>
      <w:r w:rsidRPr="00CA3E4E">
        <w:rPr>
          <w:bCs/>
          <w:sz w:val="24"/>
          <w:szCs w:val="24"/>
        </w:rPr>
        <w:t xml:space="preserve">Fios e barras de </w:t>
      </w:r>
      <w:r w:rsidRPr="00CA3E4E">
        <w:rPr>
          <w:sz w:val="24"/>
          <w:szCs w:val="24"/>
        </w:rPr>
        <w:t>aço, Aditivos, Concreto Estrutural</w:t>
      </w:r>
    </w:p>
    <w:p w14:paraId="563F2283" w14:textId="1EF18C1B" w:rsidR="00FB5D2E" w:rsidRDefault="00FB5D2E" w:rsidP="00CA3E4E">
      <w:pPr>
        <w:spacing w:after="0"/>
      </w:pPr>
      <w:r>
        <w:t xml:space="preserve">O recebimento e armazenamento </w:t>
      </w:r>
      <w:r w:rsidR="00C11684">
        <w:t>dos materiais e componentes indicados neste item</w:t>
      </w:r>
      <w:r>
        <w:t xml:space="preserve"> deve seguir o estabelecido na ABNT NBR 16868-2.</w:t>
      </w:r>
    </w:p>
    <w:p w14:paraId="58D7326D" w14:textId="77777777" w:rsidR="00391351" w:rsidRDefault="00391351" w:rsidP="00CA3E4E">
      <w:pPr>
        <w:spacing w:after="0"/>
      </w:pPr>
    </w:p>
    <w:p w14:paraId="421B06AD" w14:textId="737DDCE9" w:rsidR="00391351" w:rsidRPr="00CA3E4E" w:rsidRDefault="00391351" w:rsidP="00297EB6">
      <w:pPr>
        <w:pStyle w:val="Ttulo1"/>
        <w:rPr>
          <w:sz w:val="26"/>
          <w:szCs w:val="26"/>
        </w:rPr>
      </w:pPr>
      <w:bookmarkStart w:id="26" w:name="_Toc246478446"/>
      <w:bookmarkStart w:id="27" w:name="_Toc246478491"/>
      <w:bookmarkStart w:id="28" w:name="_Toc246478537"/>
      <w:bookmarkStart w:id="29" w:name="_Toc246478698"/>
      <w:r w:rsidRPr="00CA3E4E">
        <w:rPr>
          <w:sz w:val="26"/>
          <w:szCs w:val="26"/>
        </w:rPr>
        <w:t>Produção da argamassa de assentamento e do graute</w:t>
      </w:r>
      <w:bookmarkEnd w:id="26"/>
      <w:bookmarkEnd w:id="27"/>
      <w:bookmarkEnd w:id="28"/>
      <w:bookmarkEnd w:id="29"/>
    </w:p>
    <w:p w14:paraId="328BBA72" w14:textId="431083C7" w:rsidR="00391351" w:rsidRDefault="007822E8" w:rsidP="00CA3E4E">
      <w:pPr>
        <w:spacing w:after="0"/>
      </w:pPr>
      <w:r>
        <w:t xml:space="preserve">Os procedimentos de produção da argamassa de assentamento e graute </w:t>
      </w:r>
      <w:r w:rsidR="00BE0CCD">
        <w:t>devem seguir o estabelecido na ABNT NBR</w:t>
      </w:r>
      <w:r w:rsidR="001E7CCF">
        <w:t xml:space="preserve"> 16868</w:t>
      </w:r>
      <w:r w:rsidR="00BE0CCD">
        <w:t>-2.</w:t>
      </w:r>
    </w:p>
    <w:p w14:paraId="1918F7C4" w14:textId="77777777" w:rsidR="001E7CCF" w:rsidRDefault="001E7CCF" w:rsidP="00CA3E4E">
      <w:pPr>
        <w:spacing w:after="0"/>
      </w:pPr>
    </w:p>
    <w:p w14:paraId="6C1CC619" w14:textId="301091A4" w:rsidR="00A21E28" w:rsidRPr="00CA3E4E" w:rsidRDefault="00DA67B6" w:rsidP="00A21E28">
      <w:pPr>
        <w:pStyle w:val="Ttulo1"/>
        <w:rPr>
          <w:sz w:val="26"/>
          <w:szCs w:val="26"/>
        </w:rPr>
      </w:pPr>
      <w:bookmarkStart w:id="30" w:name="_Toc246478449"/>
      <w:bookmarkStart w:id="31" w:name="_Toc246478495"/>
      <w:bookmarkStart w:id="32" w:name="_Toc246478541"/>
      <w:bookmarkStart w:id="33" w:name="_Toc246478701"/>
      <w:r w:rsidRPr="00CA3E4E">
        <w:rPr>
          <w:sz w:val="26"/>
          <w:szCs w:val="26"/>
        </w:rPr>
        <w:t>Controle da resistência dos materiais e das alvenarias à compressão axial</w:t>
      </w:r>
      <w:bookmarkEnd w:id="30"/>
      <w:bookmarkEnd w:id="31"/>
      <w:bookmarkEnd w:id="32"/>
      <w:bookmarkEnd w:id="33"/>
    </w:p>
    <w:p w14:paraId="4CDC2D1F" w14:textId="77777777" w:rsidR="006C4C1C" w:rsidRPr="00CA3E4E" w:rsidRDefault="006C4C1C" w:rsidP="00297EB6">
      <w:pPr>
        <w:pStyle w:val="Ttulo2"/>
        <w:rPr>
          <w:sz w:val="24"/>
          <w:szCs w:val="24"/>
        </w:rPr>
      </w:pPr>
      <w:bookmarkStart w:id="34" w:name="_Toc246478450"/>
      <w:bookmarkStart w:id="35" w:name="_Toc246478496"/>
      <w:bookmarkStart w:id="36" w:name="_Toc246478542"/>
      <w:bookmarkStart w:id="37" w:name="_Toc246478702"/>
      <w:bookmarkStart w:id="38" w:name="_Ref193115426"/>
      <w:r w:rsidRPr="00CA3E4E">
        <w:rPr>
          <w:sz w:val="24"/>
          <w:szCs w:val="24"/>
        </w:rPr>
        <w:t>Caracterização prévia dos materiais e da alvenaria</w:t>
      </w:r>
      <w:bookmarkEnd w:id="34"/>
      <w:bookmarkEnd w:id="35"/>
      <w:bookmarkEnd w:id="36"/>
      <w:bookmarkEnd w:id="37"/>
      <w:bookmarkEnd w:id="38"/>
    </w:p>
    <w:p w14:paraId="7872E7BA" w14:textId="4A02E00E" w:rsidR="00A4176F" w:rsidRDefault="00ED6804" w:rsidP="00ED6804">
      <w:pPr>
        <w:pStyle w:val="Pargrafo11pt"/>
        <w:rPr>
          <w:rFonts w:cs="Arial"/>
          <w:szCs w:val="22"/>
        </w:rPr>
      </w:pPr>
      <w:r w:rsidRPr="002707E3">
        <w:rPr>
          <w:rFonts w:cs="Arial"/>
          <w:szCs w:val="22"/>
        </w:rPr>
        <w:t xml:space="preserve">Antes do início da obra, deve ser feita a caracterização da resistência à compressão dos </w:t>
      </w:r>
      <w:r w:rsidR="00A4176F">
        <w:rPr>
          <w:rFonts w:cs="Arial"/>
          <w:szCs w:val="22"/>
        </w:rPr>
        <w:t xml:space="preserve">blocos e </w:t>
      </w:r>
      <w:r w:rsidRPr="002707E3">
        <w:rPr>
          <w:rFonts w:cs="Arial"/>
          <w:szCs w:val="22"/>
        </w:rPr>
        <w:t>da alvenaria</w:t>
      </w:r>
      <w:r w:rsidR="00E17EEE">
        <w:rPr>
          <w:rFonts w:cs="Arial"/>
          <w:szCs w:val="22"/>
        </w:rPr>
        <w:t>, com materiais de mesmas caracteristica</w:t>
      </w:r>
      <w:r w:rsidR="00C62B65">
        <w:rPr>
          <w:rFonts w:cs="Arial"/>
          <w:szCs w:val="22"/>
        </w:rPr>
        <w:t>s e procedência</w:t>
      </w:r>
      <w:r w:rsidRPr="002707E3">
        <w:rPr>
          <w:rFonts w:cs="Arial"/>
          <w:szCs w:val="22"/>
        </w:rPr>
        <w:t xml:space="preserve"> a serem usados na construção. </w:t>
      </w:r>
    </w:p>
    <w:p w14:paraId="32BE5165" w14:textId="77777777" w:rsidR="008534AA" w:rsidRDefault="008534AA" w:rsidP="00ED6804">
      <w:pPr>
        <w:pStyle w:val="Pargrafo11pt"/>
        <w:rPr>
          <w:rFonts w:cs="Arial"/>
          <w:szCs w:val="22"/>
        </w:rPr>
      </w:pPr>
      <w:r>
        <w:rPr>
          <w:rFonts w:cs="Arial"/>
          <w:szCs w:val="22"/>
        </w:rPr>
        <w:t>Para o</w:t>
      </w:r>
      <w:r w:rsidR="00ED6804" w:rsidRPr="002707E3">
        <w:rPr>
          <w:rFonts w:cs="Arial"/>
          <w:szCs w:val="22"/>
        </w:rPr>
        <w:t>s blocos deve</w:t>
      </w:r>
      <w:r>
        <w:rPr>
          <w:rFonts w:cs="Arial"/>
          <w:szCs w:val="22"/>
        </w:rPr>
        <w:t>-se seguir:</w:t>
      </w:r>
    </w:p>
    <w:p w14:paraId="03103797" w14:textId="552CBEDF" w:rsidR="008534AA" w:rsidRDefault="008534AA" w:rsidP="00C42C17">
      <w:pPr>
        <w:pStyle w:val="Pargrafo11pt"/>
        <w:ind w:left="357"/>
        <w:rPr>
          <w:rFonts w:cs="Arial"/>
          <w:szCs w:val="22"/>
        </w:rPr>
      </w:pPr>
      <w:r>
        <w:rPr>
          <w:rFonts w:cs="Arial"/>
          <w:szCs w:val="22"/>
        </w:rPr>
        <w:t xml:space="preserve">- </w:t>
      </w:r>
      <w:r w:rsidR="00126BC8">
        <w:rPr>
          <w:rFonts w:cs="Arial"/>
          <w:szCs w:val="22"/>
        </w:rPr>
        <w:t xml:space="preserve">bloco de concreto: </w:t>
      </w:r>
      <w:r>
        <w:rPr>
          <w:rFonts w:cs="Arial"/>
          <w:szCs w:val="22"/>
        </w:rPr>
        <w:t xml:space="preserve">ensaiar </w:t>
      </w:r>
      <w:r w:rsidR="00126BC8">
        <w:rPr>
          <w:rFonts w:cs="Arial"/>
          <w:szCs w:val="22"/>
        </w:rPr>
        <w:t>seis unidades conforme ABNT NBR 12118 e</w:t>
      </w:r>
      <w:r w:rsidR="00DD1880">
        <w:rPr>
          <w:rFonts w:cs="Arial"/>
          <w:szCs w:val="22"/>
        </w:rPr>
        <w:br/>
      </w:r>
      <w:r w:rsidR="00126BC8">
        <w:rPr>
          <w:rFonts w:cs="Arial"/>
          <w:szCs w:val="22"/>
        </w:rPr>
        <w:t xml:space="preserve">calcular </w:t>
      </w:r>
      <w:r w:rsidR="00126BC8" w:rsidRPr="00CA3E4E">
        <w:rPr>
          <w:rFonts w:cs="Arial"/>
          <w:i/>
          <w:iCs/>
          <w:szCs w:val="22"/>
        </w:rPr>
        <w:t>f</w:t>
      </w:r>
      <w:r w:rsidR="00126BC8" w:rsidRPr="00CA3E4E">
        <w:rPr>
          <w:rFonts w:cs="Arial"/>
          <w:i/>
          <w:iCs/>
          <w:szCs w:val="22"/>
          <w:vertAlign w:val="subscript"/>
        </w:rPr>
        <w:t>bk</w:t>
      </w:r>
      <w:r w:rsidR="00684873">
        <w:rPr>
          <w:rFonts w:cs="Arial"/>
          <w:szCs w:val="22"/>
        </w:rPr>
        <w:t>;</w:t>
      </w:r>
    </w:p>
    <w:p w14:paraId="316ADADE" w14:textId="06F676C8" w:rsidR="00684873" w:rsidRDefault="00684873" w:rsidP="00C42C17">
      <w:pPr>
        <w:pStyle w:val="Pargrafo11pt"/>
        <w:ind w:left="357"/>
        <w:rPr>
          <w:rFonts w:cs="Arial"/>
          <w:szCs w:val="22"/>
        </w:rPr>
      </w:pPr>
      <w:r>
        <w:rPr>
          <w:rFonts w:cs="Arial"/>
          <w:szCs w:val="22"/>
        </w:rPr>
        <w:t>- bloco cerâmico: ensaiar treze unidades conforme ABNT NBR 15270-2 e</w:t>
      </w:r>
      <w:r w:rsidR="00DD1880">
        <w:rPr>
          <w:rFonts w:cs="Arial"/>
          <w:szCs w:val="22"/>
        </w:rPr>
        <w:br/>
      </w:r>
      <w:r>
        <w:rPr>
          <w:rFonts w:cs="Arial"/>
          <w:szCs w:val="22"/>
        </w:rPr>
        <w:t>calcular</w:t>
      </w:r>
      <w:r w:rsidR="00D3408D">
        <w:rPr>
          <w:rFonts w:cs="Arial"/>
          <w:szCs w:val="22"/>
        </w:rPr>
        <w:t xml:space="preserve"> </w:t>
      </w:r>
      <w:r w:rsidR="00D3408D" w:rsidRPr="00CA3E4E">
        <w:rPr>
          <w:rFonts w:cs="Arial"/>
          <w:i/>
          <w:iCs/>
          <w:szCs w:val="22"/>
        </w:rPr>
        <w:t>f</w:t>
      </w:r>
      <w:r w:rsidR="00D3408D" w:rsidRPr="00CA3E4E">
        <w:rPr>
          <w:rFonts w:cs="Arial"/>
          <w:i/>
          <w:iCs/>
          <w:szCs w:val="22"/>
          <w:vertAlign w:val="subscript"/>
        </w:rPr>
        <w:t>bk</w:t>
      </w:r>
      <w:r w:rsidR="00D3408D">
        <w:rPr>
          <w:rFonts w:cs="Arial"/>
          <w:szCs w:val="22"/>
        </w:rPr>
        <w:t>.</w:t>
      </w:r>
    </w:p>
    <w:p w14:paraId="24936BF4" w14:textId="4C73891E" w:rsidR="00ED6804" w:rsidRPr="00DE2E50" w:rsidRDefault="00ED6804" w:rsidP="00ED6804">
      <w:pPr>
        <w:pStyle w:val="Pargrafo11pt"/>
        <w:rPr>
          <w:rFonts w:cs="Arial"/>
          <w:szCs w:val="22"/>
        </w:rPr>
      </w:pPr>
      <w:r w:rsidRPr="00DE2E50">
        <w:rPr>
          <w:rFonts w:cs="Arial"/>
          <w:szCs w:val="22"/>
        </w:rPr>
        <w:t xml:space="preserve">A caracterização da alvenaria deve ser feita por meio de ensaios de </w:t>
      </w:r>
      <w:r w:rsidR="009A70EB" w:rsidRPr="00DE2E50">
        <w:rPr>
          <w:rFonts w:cs="Arial"/>
          <w:szCs w:val="22"/>
        </w:rPr>
        <w:t xml:space="preserve">seis </w:t>
      </w:r>
      <w:r w:rsidRPr="00DE2E50">
        <w:rPr>
          <w:rFonts w:cs="Arial"/>
          <w:szCs w:val="22"/>
        </w:rPr>
        <w:t>prisma</w:t>
      </w:r>
      <w:r w:rsidR="009A70EB" w:rsidRPr="00DE2E50">
        <w:rPr>
          <w:rFonts w:cs="Arial"/>
          <w:szCs w:val="22"/>
        </w:rPr>
        <w:t>s</w:t>
      </w:r>
      <w:r w:rsidRPr="00DE2E50">
        <w:rPr>
          <w:rFonts w:cs="Arial"/>
          <w:szCs w:val="22"/>
        </w:rPr>
        <w:t xml:space="preserve"> ou </w:t>
      </w:r>
      <w:r w:rsidR="009A70EB" w:rsidRPr="00DE2E50">
        <w:rPr>
          <w:rFonts w:cs="Arial"/>
          <w:szCs w:val="22"/>
        </w:rPr>
        <w:t xml:space="preserve">seis </w:t>
      </w:r>
      <w:r w:rsidRPr="00DE2E50">
        <w:rPr>
          <w:rFonts w:cs="Arial"/>
          <w:szCs w:val="22"/>
        </w:rPr>
        <w:t>pequena</w:t>
      </w:r>
      <w:r w:rsidR="009A70EB" w:rsidRPr="00DE2E50">
        <w:rPr>
          <w:rFonts w:cs="Arial"/>
          <w:szCs w:val="22"/>
        </w:rPr>
        <w:t>s</w:t>
      </w:r>
      <w:r w:rsidRPr="00DE2E50">
        <w:rPr>
          <w:rFonts w:cs="Arial"/>
          <w:szCs w:val="22"/>
        </w:rPr>
        <w:t xml:space="preserve"> parede</w:t>
      </w:r>
      <w:r w:rsidR="009A70EB" w:rsidRPr="00DE2E50">
        <w:rPr>
          <w:rFonts w:cs="Arial"/>
          <w:szCs w:val="22"/>
        </w:rPr>
        <w:t>s</w:t>
      </w:r>
      <w:r w:rsidRPr="00DE2E50">
        <w:rPr>
          <w:rFonts w:cs="Arial"/>
          <w:szCs w:val="22"/>
        </w:rPr>
        <w:t>, executad</w:t>
      </w:r>
      <w:r w:rsidR="00FC3790" w:rsidRPr="00DE2E50">
        <w:rPr>
          <w:rFonts w:cs="Arial"/>
          <w:szCs w:val="22"/>
        </w:rPr>
        <w:t>a</w:t>
      </w:r>
      <w:r w:rsidRPr="00DE2E50">
        <w:rPr>
          <w:rFonts w:cs="Arial"/>
          <w:szCs w:val="22"/>
        </w:rPr>
        <w:t xml:space="preserve">s com blocos </w:t>
      </w:r>
      <w:r w:rsidR="00C071B0" w:rsidRPr="00DE2E50">
        <w:rPr>
          <w:rFonts w:cs="Arial"/>
          <w:szCs w:val="22"/>
        </w:rPr>
        <w:t xml:space="preserve">e composto polimérico </w:t>
      </w:r>
      <w:r w:rsidRPr="00DE2E50">
        <w:rPr>
          <w:rFonts w:cs="Arial"/>
          <w:szCs w:val="22"/>
        </w:rPr>
        <w:t>de mesma origem e características dos que serão efetivamente utilizados na estrutura.</w:t>
      </w:r>
      <w:r w:rsidR="009A70EB" w:rsidRPr="00DE2E50">
        <w:rPr>
          <w:rFonts w:cs="Arial"/>
          <w:szCs w:val="22"/>
        </w:rPr>
        <w:t xml:space="preserve"> </w:t>
      </w:r>
      <w:r w:rsidRPr="00DE2E50">
        <w:rPr>
          <w:rFonts w:cs="Arial"/>
          <w:szCs w:val="22"/>
        </w:rPr>
        <w:t xml:space="preserve">Os ensaios dos elementos de alvenaria devem ser realizados de acordo com os métodos de ensaio descritos </w:t>
      </w:r>
      <w:r w:rsidR="009A70EB" w:rsidRPr="00DE2E50">
        <w:rPr>
          <w:rFonts w:cs="Arial"/>
          <w:szCs w:val="22"/>
        </w:rPr>
        <w:t>na ABNT NBR 16868-3, exceto pela espessura da junta que deve estar e</w:t>
      </w:r>
      <w:r w:rsidR="00E65BC1" w:rsidRPr="00DE2E50">
        <w:rPr>
          <w:rFonts w:cs="Arial"/>
          <w:szCs w:val="22"/>
        </w:rPr>
        <w:t xml:space="preserve">ntre </w:t>
      </w:r>
      <w:r w:rsidR="007C6FDA" w:rsidRPr="00DE2E50">
        <w:rPr>
          <w:rFonts w:cs="Arial"/>
          <w:szCs w:val="22"/>
        </w:rPr>
        <w:t>1</w:t>
      </w:r>
      <w:r w:rsidR="00772A2F" w:rsidRPr="00DE2E50">
        <w:rPr>
          <w:rFonts w:cs="Arial"/>
          <w:szCs w:val="22"/>
        </w:rPr>
        <w:t>,0</w:t>
      </w:r>
      <w:r w:rsidR="00746537" w:rsidRPr="00DE2E50">
        <w:rPr>
          <w:rFonts w:cs="Arial"/>
          <w:szCs w:val="22"/>
        </w:rPr>
        <w:t xml:space="preserve"> e 3,0</w:t>
      </w:r>
      <w:r w:rsidR="00282064" w:rsidRPr="00DE2E50">
        <w:rPr>
          <w:rFonts w:cs="Arial"/>
          <w:szCs w:val="22"/>
        </w:rPr>
        <w:t xml:space="preserve"> mm</w:t>
      </w:r>
      <w:r w:rsidR="00746537" w:rsidRPr="00DE2E50">
        <w:rPr>
          <w:rFonts w:cs="Arial"/>
          <w:szCs w:val="22"/>
        </w:rPr>
        <w:t xml:space="preserve">, </w:t>
      </w:r>
      <w:r w:rsidR="00282064" w:rsidRPr="00DE2E50">
        <w:rPr>
          <w:rFonts w:cs="Arial"/>
          <w:szCs w:val="22"/>
        </w:rPr>
        <w:t xml:space="preserve">e </w:t>
      </w:r>
      <w:r w:rsidR="00746537" w:rsidRPr="00DE2E50">
        <w:rPr>
          <w:rFonts w:cs="Arial"/>
          <w:szCs w:val="22"/>
        </w:rPr>
        <w:t xml:space="preserve">com número de cordões </w:t>
      </w:r>
      <w:r w:rsidR="00271C14" w:rsidRPr="00DE2E50">
        <w:rPr>
          <w:rFonts w:cs="Arial"/>
          <w:szCs w:val="22"/>
        </w:rPr>
        <w:t>igual ao que será utilizado na obra.</w:t>
      </w:r>
      <w:r w:rsidR="00CD259D" w:rsidRPr="00DE2E50">
        <w:rPr>
          <w:rFonts w:cs="Arial"/>
          <w:szCs w:val="22"/>
        </w:rPr>
        <w:t xml:space="preserve"> Devem ser avaliados </w:t>
      </w:r>
      <w:r w:rsidR="00096E29" w:rsidRPr="00DE2E50">
        <w:rPr>
          <w:rFonts w:cs="Arial"/>
          <w:szCs w:val="22"/>
        </w:rPr>
        <w:t>a resistência característica a compressão e também o módulo de elasticidade dos elementos.</w:t>
      </w:r>
    </w:p>
    <w:p w14:paraId="46A12E0E" w14:textId="5D339A43" w:rsidR="00CA3E4E" w:rsidRPr="00DE2E50" w:rsidRDefault="00ED6804" w:rsidP="00ED6804">
      <w:pPr>
        <w:pStyle w:val="Pargrafo11pt"/>
        <w:rPr>
          <w:rFonts w:cs="Arial"/>
          <w:szCs w:val="22"/>
        </w:rPr>
      </w:pPr>
      <w:r w:rsidRPr="00DE2E50">
        <w:rPr>
          <w:rFonts w:cs="Arial"/>
          <w:szCs w:val="22"/>
        </w:rPr>
        <w:t>No caso de</w:t>
      </w:r>
      <w:r w:rsidR="00282064" w:rsidRPr="00DE2E50">
        <w:rPr>
          <w:rFonts w:cs="Arial"/>
          <w:szCs w:val="22"/>
        </w:rPr>
        <w:t xml:space="preserve"> </w:t>
      </w:r>
      <w:r w:rsidRPr="00DE2E50">
        <w:rPr>
          <w:rFonts w:cs="Arial"/>
          <w:szCs w:val="22"/>
        </w:rPr>
        <w:t>já ter sido realizad</w:t>
      </w:r>
      <w:r w:rsidR="00940EBA" w:rsidRPr="00DE2E50">
        <w:rPr>
          <w:rFonts w:cs="Arial"/>
          <w:szCs w:val="22"/>
        </w:rPr>
        <w:t>a</w:t>
      </w:r>
      <w:r w:rsidRPr="00DE2E50">
        <w:rPr>
          <w:rFonts w:cs="Arial"/>
          <w:szCs w:val="22"/>
        </w:rPr>
        <w:t xml:space="preserve"> a caracterização da alvenaria com os materiais a serem usados dentro do prazo de 360 dias que antecedem o início da obra, este procedimento se torna desnecessário, podendo ser</w:t>
      </w:r>
      <w:r w:rsidR="00940EBA" w:rsidRPr="00DE2E50">
        <w:rPr>
          <w:rFonts w:cs="Arial"/>
          <w:szCs w:val="22"/>
        </w:rPr>
        <w:t>em</w:t>
      </w:r>
      <w:r w:rsidRPr="00DE2E50">
        <w:rPr>
          <w:rFonts w:cs="Arial"/>
          <w:szCs w:val="22"/>
        </w:rPr>
        <w:t xml:space="preserve"> utilizados os resultados desta caracterização anterior.</w:t>
      </w:r>
    </w:p>
    <w:p w14:paraId="1FB1DA61" w14:textId="77777777" w:rsidR="00CA3E4E" w:rsidRDefault="00CA3E4E">
      <w:pPr>
        <w:spacing w:line="240" w:lineRule="auto"/>
        <w:jc w:val="left"/>
        <w:rPr>
          <w:rFonts w:eastAsia="Times New Roman"/>
          <w:noProof/>
          <w:lang w:eastAsia="pt-BR"/>
        </w:rPr>
      </w:pPr>
      <w:r>
        <w:br w:type="page"/>
      </w:r>
    </w:p>
    <w:p w14:paraId="7CEAB3B2" w14:textId="07FE06B4" w:rsidR="00402A69" w:rsidRPr="00CA3E4E" w:rsidRDefault="00251E99" w:rsidP="00040287">
      <w:pPr>
        <w:pStyle w:val="Ttulo2"/>
        <w:rPr>
          <w:sz w:val="24"/>
          <w:szCs w:val="24"/>
        </w:rPr>
      </w:pPr>
      <w:bookmarkStart w:id="39" w:name="_Toc246478452"/>
      <w:bookmarkStart w:id="40" w:name="_Toc246478498"/>
      <w:bookmarkStart w:id="41" w:name="_Toc246478544"/>
      <w:bookmarkStart w:id="42" w:name="_Toc246478704"/>
      <w:bookmarkStart w:id="43" w:name="_Ref186195102"/>
      <w:r w:rsidRPr="00CA3E4E">
        <w:rPr>
          <w:sz w:val="24"/>
          <w:szCs w:val="24"/>
        </w:rPr>
        <w:lastRenderedPageBreak/>
        <w:t>Controle dos materiais e alvenaria em obra</w:t>
      </w:r>
      <w:bookmarkEnd w:id="39"/>
      <w:bookmarkEnd w:id="40"/>
      <w:bookmarkEnd w:id="41"/>
      <w:bookmarkEnd w:id="42"/>
      <w:bookmarkEnd w:id="43"/>
    </w:p>
    <w:p w14:paraId="0967C319" w14:textId="77777777" w:rsidR="00795A32" w:rsidRPr="00CA3E4E" w:rsidRDefault="00795A32" w:rsidP="00795A32">
      <w:pPr>
        <w:pStyle w:val="Ttulo3"/>
        <w:rPr>
          <w:i w:val="0"/>
          <w:iCs/>
        </w:rPr>
      </w:pPr>
      <w:r w:rsidRPr="00CA3E4E">
        <w:rPr>
          <w:i w:val="0"/>
          <w:iCs/>
        </w:rPr>
        <w:t>Composto polimérico não cimentício</w:t>
      </w:r>
    </w:p>
    <w:p w14:paraId="279513B1" w14:textId="2CE0AAA9" w:rsidR="00854F8F" w:rsidRPr="00CA3E4E" w:rsidRDefault="00DA202C" w:rsidP="00297EB6">
      <w:pPr>
        <w:pStyle w:val="Ttulo4"/>
        <w:ind w:left="851" w:hanging="851"/>
        <w:rPr>
          <w:i w:val="0"/>
          <w:iCs/>
          <w:u w:val="none"/>
        </w:rPr>
      </w:pPr>
      <w:r w:rsidRPr="00CA3E4E">
        <w:rPr>
          <w:i w:val="0"/>
          <w:iCs/>
          <w:u w:val="none"/>
        </w:rPr>
        <w:t>Produto com certificação de qualidade</w:t>
      </w:r>
    </w:p>
    <w:p w14:paraId="14A68C87" w14:textId="1CE89EE2" w:rsidR="00795A32" w:rsidRPr="00DE2E50" w:rsidRDefault="00795A32" w:rsidP="00795A32">
      <w:r w:rsidRPr="00DE2E50">
        <w:t xml:space="preserve">O controle das propriedades do composto polimérico pela obra pode ser dispensado no caso </w:t>
      </w:r>
      <w:r w:rsidR="00E0122A" w:rsidRPr="00DE2E50">
        <w:t>de o</w:t>
      </w:r>
      <w:r w:rsidRPr="00DE2E50">
        <w:t xml:space="preserve"> produto possuir certificação de </w:t>
      </w:r>
      <w:r w:rsidR="007E4E8F" w:rsidRPr="00DE2E50">
        <w:t xml:space="preserve">qualidade </w:t>
      </w:r>
      <w:r w:rsidRPr="00DE2E50">
        <w:t>com as ABNT NBR 16590-1 e</w:t>
      </w:r>
      <w:r w:rsidR="00CA3E4E" w:rsidRPr="00DE2E50">
        <w:t xml:space="preserve"> </w:t>
      </w:r>
      <w:r w:rsidR="00CA3E4E" w:rsidRPr="00DE2E50">
        <w:br/>
      </w:r>
      <w:r w:rsidRPr="00DE2E50">
        <w:t>ABNT NBR 16590-2</w:t>
      </w:r>
      <w:r w:rsidR="00111B53" w:rsidRPr="00DE2E50">
        <w:t>.</w:t>
      </w:r>
      <w:r w:rsidR="00E37EF2" w:rsidRPr="00DE2E50">
        <w:rPr>
          <w:rFonts w:ascii="Segoe UI" w:hAnsi="Segoe UI" w:cs="Segoe UI"/>
        </w:rPr>
        <w:t xml:space="preserve"> </w:t>
      </w:r>
      <w:r w:rsidR="00E37EF2" w:rsidRPr="00DE2E50">
        <w:t>A certificação da qualidade do produto deve ser obtida conforme o Sistema Brasileiro de Avaliação da Conformidade</w:t>
      </w:r>
      <w:r w:rsidR="00221874" w:rsidRPr="00DE2E50">
        <w:t>.</w:t>
      </w:r>
    </w:p>
    <w:p w14:paraId="31BBDD3E" w14:textId="1B32D5C4" w:rsidR="001E167A" w:rsidRPr="00CA3E4E" w:rsidRDefault="001E167A" w:rsidP="001E167A">
      <w:pPr>
        <w:pStyle w:val="Ttulo4"/>
        <w:ind w:left="851" w:hanging="851"/>
        <w:rPr>
          <w:i w:val="0"/>
          <w:iCs/>
          <w:u w:val="none"/>
        </w:rPr>
      </w:pPr>
      <w:r w:rsidRPr="00CA3E4E">
        <w:rPr>
          <w:i w:val="0"/>
          <w:iCs/>
          <w:u w:val="none"/>
        </w:rPr>
        <w:t>Produto sem certificação de qualidade</w:t>
      </w:r>
    </w:p>
    <w:p w14:paraId="0A6E97B8" w14:textId="1A0785D5" w:rsidR="00E96C5B" w:rsidRDefault="00795A32" w:rsidP="00795A32">
      <w:r>
        <w:t xml:space="preserve">Quando não atendida </w:t>
      </w:r>
      <w:r w:rsidR="00391E26">
        <w:t>a</w:t>
      </w:r>
      <w:r>
        <w:t xml:space="preserve"> condiç</w:t>
      </w:r>
      <w:r w:rsidR="00391E26">
        <w:t>ão</w:t>
      </w:r>
      <w:r>
        <w:t xml:space="preserve"> anterior, o</w:t>
      </w:r>
      <w:r w:rsidRPr="007F3836">
        <w:t xml:space="preserve"> composto polimérico não cimentício deve ser ensaiado conforme as diretrizes da </w:t>
      </w:r>
      <w:r w:rsidRPr="003C3D56">
        <w:t>ABNT NBR 16590-2 e atender integralmente aos requisitos.</w:t>
      </w:r>
      <w:r>
        <w:t xml:space="preserve"> </w:t>
      </w:r>
    </w:p>
    <w:p w14:paraId="7D2B9836" w14:textId="77777777" w:rsidR="00795A32" w:rsidRPr="00E0122A" w:rsidRDefault="00795A32" w:rsidP="00DD1880">
      <w:pPr>
        <w:pStyle w:val="Ttulo5"/>
        <w:ind w:left="794" w:hanging="794"/>
        <w:rPr>
          <w:b/>
          <w:bCs/>
          <w:i w:val="0"/>
          <w:iCs w:val="0"/>
        </w:rPr>
      </w:pPr>
      <w:r w:rsidRPr="00E0122A">
        <w:rPr>
          <w:b/>
          <w:bCs/>
          <w:i w:val="0"/>
          <w:iCs w:val="0"/>
        </w:rPr>
        <w:t>Definição do lote</w:t>
      </w:r>
    </w:p>
    <w:p w14:paraId="141C5C72" w14:textId="36FF8080" w:rsidR="00004718" w:rsidRPr="0061056F" w:rsidRDefault="00795A32" w:rsidP="00297EB6">
      <w:r>
        <w:t xml:space="preserve">Para efeito do controle de qualidade do composto polimérico a ser empregado na </w:t>
      </w:r>
      <w:r w:rsidR="00962CB2">
        <w:t>obra</w:t>
      </w:r>
      <w:r>
        <w:t xml:space="preserve">, considera-se um lote a </w:t>
      </w:r>
      <w:r w:rsidR="00DE5D78">
        <w:t xml:space="preserve">situação de </w:t>
      </w:r>
      <w:r>
        <w:t>material de um mesmo fabricante</w:t>
      </w:r>
      <w:r w:rsidR="00EC477A">
        <w:t xml:space="preserve"> e de mesmo lote de fabricação</w:t>
      </w:r>
      <w:r>
        <w:t>.</w:t>
      </w:r>
    </w:p>
    <w:p w14:paraId="0CF0EE57" w14:textId="77777777" w:rsidR="00795A32" w:rsidRPr="00E0122A" w:rsidRDefault="00795A32" w:rsidP="00DD1880">
      <w:pPr>
        <w:pStyle w:val="Ttulo5"/>
        <w:ind w:left="794" w:hanging="794"/>
        <w:rPr>
          <w:b/>
          <w:bCs/>
          <w:i w:val="0"/>
          <w:iCs w:val="0"/>
        </w:rPr>
      </w:pPr>
      <w:r w:rsidRPr="00E0122A">
        <w:rPr>
          <w:b/>
          <w:bCs/>
          <w:i w:val="0"/>
          <w:iCs w:val="0"/>
        </w:rPr>
        <w:t>Definição da amostra</w:t>
      </w:r>
    </w:p>
    <w:p w14:paraId="11F44358" w14:textId="77777777" w:rsidR="00795A32" w:rsidRPr="00013731" w:rsidRDefault="00795A32" w:rsidP="00795A32">
      <w:r>
        <w:t>Para cada lote, uma amostra consiste no mínimo em 3 kg de material em uma única embalagem íntegra, inviolada, identificada e cujo material dispõe-se hermeticamente de modo a não ser possível quaisquer alterações em suas características originais.</w:t>
      </w:r>
    </w:p>
    <w:p w14:paraId="62C8423C" w14:textId="77777777" w:rsidR="00795A32" w:rsidRPr="00E0122A" w:rsidRDefault="00795A32" w:rsidP="00DD1880">
      <w:pPr>
        <w:pStyle w:val="Ttulo5"/>
        <w:ind w:left="794" w:hanging="794"/>
        <w:rPr>
          <w:b/>
          <w:bCs/>
          <w:i w:val="0"/>
          <w:iCs w:val="0"/>
        </w:rPr>
      </w:pPr>
      <w:r w:rsidRPr="00E0122A">
        <w:rPr>
          <w:b/>
          <w:bCs/>
          <w:i w:val="0"/>
          <w:iCs w:val="0"/>
        </w:rPr>
        <w:t>Aceitação</w:t>
      </w:r>
    </w:p>
    <w:p w14:paraId="59D99F02" w14:textId="70DECDC2" w:rsidR="00795A32" w:rsidRDefault="00795A32" w:rsidP="00297EB6">
      <w:r>
        <w:t>Para os efeitos desta Norma, um lote de composto polimérico somente pode ser aceito se, obrigatoriamente</w:t>
      </w:r>
      <w:r w:rsidR="00CC4469">
        <w:t xml:space="preserve"> </w:t>
      </w:r>
      <w:r>
        <w:t xml:space="preserve">atender aos requisitos estabelecidos pelas </w:t>
      </w:r>
      <w:r w:rsidRPr="00A5327E">
        <w:t>ABNT NBR 16590</w:t>
      </w:r>
      <w:r>
        <w:t xml:space="preserve">-1 e </w:t>
      </w:r>
      <w:r w:rsidRPr="00A5327E">
        <w:t>ABNT NBR 16590</w:t>
      </w:r>
      <w:r>
        <w:t>-2</w:t>
      </w:r>
      <w:r w:rsidR="00CC4469">
        <w:t>.</w:t>
      </w:r>
    </w:p>
    <w:p w14:paraId="1C3E75B0" w14:textId="77777777" w:rsidR="00795A32" w:rsidRPr="00CA3E4E" w:rsidRDefault="00795A32" w:rsidP="00795A32">
      <w:pPr>
        <w:pStyle w:val="Ttulo2"/>
        <w:rPr>
          <w:sz w:val="24"/>
          <w:szCs w:val="24"/>
        </w:rPr>
      </w:pPr>
      <w:r w:rsidRPr="00CA3E4E">
        <w:rPr>
          <w:sz w:val="24"/>
          <w:szCs w:val="24"/>
        </w:rPr>
        <w:t xml:space="preserve">Blocos, Graute, Argamassa Cimentícia, </w:t>
      </w:r>
      <w:r w:rsidRPr="00CA3E4E">
        <w:rPr>
          <w:bCs/>
          <w:sz w:val="24"/>
          <w:szCs w:val="24"/>
        </w:rPr>
        <w:t xml:space="preserve">Fios e barras de </w:t>
      </w:r>
      <w:r w:rsidRPr="00CA3E4E">
        <w:rPr>
          <w:sz w:val="24"/>
          <w:szCs w:val="24"/>
        </w:rPr>
        <w:t>aço, Aditivos, Concreto Estrutural</w:t>
      </w:r>
    </w:p>
    <w:p w14:paraId="70E909D3" w14:textId="0AE171DC" w:rsidR="00153E6B" w:rsidRPr="00DE2E50" w:rsidRDefault="00153E6B" w:rsidP="00153E6B">
      <w:r w:rsidRPr="00DE2E50">
        <w:t>O controle da resistência a compressão dos materiais e componentes indicados neste item deve seguir o estabelecido na ABNT NBR 16868-2.</w:t>
      </w:r>
    </w:p>
    <w:p w14:paraId="40700928" w14:textId="43DA2FCC" w:rsidR="000F025E" w:rsidRPr="00BE565D" w:rsidRDefault="000F025E" w:rsidP="00297EB6">
      <w:pPr>
        <w:pStyle w:val="Ttulo2"/>
        <w:rPr>
          <w:sz w:val="24"/>
          <w:szCs w:val="24"/>
        </w:rPr>
      </w:pPr>
      <w:bookmarkStart w:id="44" w:name="_Ref186195422"/>
      <w:r w:rsidRPr="00BE565D">
        <w:rPr>
          <w:sz w:val="24"/>
          <w:szCs w:val="24"/>
        </w:rPr>
        <w:t>Alvenaria por ensaio de prisma</w:t>
      </w:r>
      <w:bookmarkEnd w:id="44"/>
      <w:r w:rsidR="00167286" w:rsidRPr="00BE565D">
        <w:rPr>
          <w:sz w:val="24"/>
          <w:szCs w:val="24"/>
        </w:rPr>
        <w:t xml:space="preserve"> ou pequena parede</w:t>
      </w:r>
    </w:p>
    <w:p w14:paraId="2FE8355E" w14:textId="334C9F25" w:rsidR="00594EAD" w:rsidRDefault="00372600" w:rsidP="00827961">
      <w:r>
        <w:t xml:space="preserve">Não há a necessidade do controle da alvenaria </w:t>
      </w:r>
      <w:r w:rsidR="000F37F2">
        <w:t xml:space="preserve">pela obra </w:t>
      </w:r>
      <w:r>
        <w:t xml:space="preserve">por ensaio de prisma </w:t>
      </w:r>
      <w:r w:rsidR="0058335E">
        <w:t xml:space="preserve">se </w:t>
      </w:r>
      <w:r>
        <w:t xml:space="preserve">a resistência característica </w:t>
      </w:r>
      <w:r w:rsidR="00F9176D">
        <w:t xml:space="preserve">à compressão simples </w:t>
      </w:r>
      <w:r w:rsidR="00F47B3C">
        <w:t>do prisma,</w:t>
      </w:r>
      <w:r w:rsidR="00450EC1">
        <w:t xml:space="preserve"> </w:t>
      </w:r>
      <w:proofErr w:type="spellStart"/>
      <w:r w:rsidR="002A37AD" w:rsidRPr="00816702">
        <w:rPr>
          <w:i/>
          <w:iCs/>
        </w:rPr>
        <w:t>f</w:t>
      </w:r>
      <w:r w:rsidR="00F47B3C">
        <w:rPr>
          <w:i/>
          <w:iCs/>
          <w:vertAlign w:val="subscript"/>
        </w:rPr>
        <w:t>pk</w:t>
      </w:r>
      <w:proofErr w:type="spellEnd"/>
      <w:r w:rsidR="00F47B3C">
        <w:t xml:space="preserve">, ou da pequena parede, </w:t>
      </w:r>
      <w:proofErr w:type="spellStart"/>
      <w:r w:rsidR="00F47B3C" w:rsidRPr="00816702">
        <w:rPr>
          <w:i/>
          <w:iCs/>
        </w:rPr>
        <w:t>f</w:t>
      </w:r>
      <w:r w:rsidR="00F47B3C">
        <w:rPr>
          <w:i/>
          <w:iCs/>
          <w:vertAlign w:val="subscript"/>
        </w:rPr>
        <w:t>ppk</w:t>
      </w:r>
      <w:proofErr w:type="spellEnd"/>
      <w:r w:rsidR="00F47B3C">
        <w:t xml:space="preserve">, </w:t>
      </w:r>
      <w:r w:rsidR="0058335E">
        <w:t>obtida no ensaio</w:t>
      </w:r>
      <w:r w:rsidR="000F37F2">
        <w:t xml:space="preserve"> recomendado</w:t>
      </w:r>
      <w:r w:rsidR="0058335E">
        <w:t xml:space="preserve"> de caracterização previsto </w:t>
      </w:r>
      <w:r w:rsidR="0058335E" w:rsidRPr="00DE2E50">
        <w:t xml:space="preserve">em </w:t>
      </w:r>
      <w:r w:rsidR="00D5105A" w:rsidRPr="00DE2E50">
        <w:fldChar w:fldCharType="begin"/>
      </w:r>
      <w:r w:rsidR="00D5105A" w:rsidRPr="00DE2E50">
        <w:instrText xml:space="preserve"> REF _Ref193115426 \r \h </w:instrText>
      </w:r>
      <w:r w:rsidR="00C003FB" w:rsidRPr="00DE2E50">
        <w:instrText xml:space="preserve"> \* MERGEFORMAT </w:instrText>
      </w:r>
      <w:r w:rsidR="00D5105A" w:rsidRPr="00DE2E50">
        <w:fldChar w:fldCharType="separate"/>
      </w:r>
      <w:r w:rsidR="00BB30C3" w:rsidRPr="00DE2E50">
        <w:t>8.1</w:t>
      </w:r>
      <w:r w:rsidR="00D5105A" w:rsidRPr="00DE2E50">
        <w:fldChar w:fldCharType="end"/>
      </w:r>
      <w:r w:rsidR="0058335E" w:rsidRPr="00DE2E50">
        <w:t xml:space="preserve"> for maior ou igual ao dobro da resistência característica especificada no projeto</w:t>
      </w:r>
      <w:r w:rsidR="000F37F2" w:rsidRPr="00DE2E50">
        <w:t>.</w:t>
      </w:r>
    </w:p>
    <w:p w14:paraId="23CE9EDD" w14:textId="4CA19B50" w:rsidR="00372600" w:rsidRPr="00816702" w:rsidRDefault="00461ED5" w:rsidP="008F0C58">
      <w:pPr>
        <w:rPr>
          <w:sz w:val="18"/>
          <w:szCs w:val="18"/>
        </w:rPr>
      </w:pPr>
      <w:r w:rsidRPr="00816702">
        <w:rPr>
          <w:sz w:val="18"/>
          <w:szCs w:val="18"/>
        </w:rPr>
        <w:t>NOTA</w:t>
      </w:r>
      <w:r w:rsidRPr="00816702">
        <w:rPr>
          <w:sz w:val="18"/>
          <w:szCs w:val="18"/>
        </w:rPr>
        <w:tab/>
      </w:r>
      <w:r w:rsidRPr="00816702">
        <w:rPr>
          <w:sz w:val="18"/>
          <w:szCs w:val="18"/>
        </w:rPr>
        <w:tab/>
      </w:r>
      <w:r w:rsidR="00372600" w:rsidRPr="00816702">
        <w:rPr>
          <w:sz w:val="18"/>
          <w:szCs w:val="18"/>
        </w:rPr>
        <w:t>A dispensa de ensaios de prisma</w:t>
      </w:r>
      <w:r w:rsidR="0071576B">
        <w:rPr>
          <w:sz w:val="18"/>
          <w:szCs w:val="18"/>
        </w:rPr>
        <w:t xml:space="preserve"> ou pequena parede</w:t>
      </w:r>
      <w:r w:rsidR="00372600" w:rsidRPr="00816702">
        <w:rPr>
          <w:sz w:val="18"/>
          <w:szCs w:val="18"/>
        </w:rPr>
        <w:t xml:space="preserve"> não elimina </w:t>
      </w:r>
      <w:r w:rsidR="002310D4" w:rsidRPr="00816702">
        <w:rPr>
          <w:sz w:val="18"/>
          <w:szCs w:val="18"/>
        </w:rPr>
        <w:t xml:space="preserve">os itens obrigatórios referentes ao </w:t>
      </w:r>
      <w:r w:rsidR="00372600" w:rsidRPr="00816702">
        <w:rPr>
          <w:sz w:val="18"/>
          <w:szCs w:val="18"/>
        </w:rPr>
        <w:t>recebimento de blocos, d</w:t>
      </w:r>
      <w:r w:rsidR="002310D4" w:rsidRPr="00816702">
        <w:rPr>
          <w:sz w:val="18"/>
          <w:szCs w:val="18"/>
        </w:rPr>
        <w:t>o</w:t>
      </w:r>
      <w:r w:rsidR="00372600" w:rsidRPr="00816702">
        <w:rPr>
          <w:sz w:val="18"/>
          <w:szCs w:val="18"/>
        </w:rPr>
        <w:t xml:space="preserve"> </w:t>
      </w:r>
      <w:r w:rsidR="002310D4" w:rsidRPr="00816702">
        <w:rPr>
          <w:sz w:val="18"/>
          <w:szCs w:val="18"/>
        </w:rPr>
        <w:t>composto polimérico,</w:t>
      </w:r>
      <w:r w:rsidR="00372600" w:rsidRPr="00816702">
        <w:rPr>
          <w:sz w:val="18"/>
          <w:szCs w:val="18"/>
        </w:rPr>
        <w:t xml:space="preserve"> do graute</w:t>
      </w:r>
      <w:r w:rsidR="002310D4" w:rsidRPr="00816702">
        <w:rPr>
          <w:sz w:val="18"/>
          <w:szCs w:val="18"/>
        </w:rPr>
        <w:t xml:space="preserve"> e outros materiais</w:t>
      </w:r>
      <w:r w:rsidR="00550DB6" w:rsidRPr="00816702">
        <w:rPr>
          <w:sz w:val="18"/>
          <w:szCs w:val="18"/>
        </w:rPr>
        <w:t xml:space="preserve"> indicados </w:t>
      </w:r>
      <w:r w:rsidR="001439F0">
        <w:rPr>
          <w:sz w:val="18"/>
          <w:szCs w:val="18"/>
        </w:rPr>
        <w:t>na seção 6</w:t>
      </w:r>
      <w:r w:rsidR="008E450C" w:rsidRPr="00816702">
        <w:rPr>
          <w:sz w:val="18"/>
          <w:szCs w:val="18"/>
        </w:rPr>
        <w:t xml:space="preserve"> desta Norma.</w:t>
      </w:r>
    </w:p>
    <w:p w14:paraId="48B138BC" w14:textId="0030B1BF" w:rsidR="00372600" w:rsidRPr="00DE2E50" w:rsidRDefault="00372600" w:rsidP="008F0C58">
      <w:r w:rsidRPr="00DE2E50">
        <w:lastRenderedPageBreak/>
        <w:t xml:space="preserve">Para as situações não incluídas anteriormente, devem ser construídos no mínimo seis prismas </w:t>
      </w:r>
      <w:r w:rsidR="00D4266C" w:rsidRPr="00DE2E50">
        <w:t xml:space="preserve">ou pequenas paredes </w:t>
      </w:r>
      <w:r w:rsidRPr="00DE2E50">
        <w:t xml:space="preserve">por lote. Recomenda-se a construção adicional de igual número de </w:t>
      </w:r>
      <w:r w:rsidR="00A22CB0" w:rsidRPr="00DE2E50">
        <w:t xml:space="preserve">elementos </w:t>
      </w:r>
      <w:r w:rsidRPr="00DE2E50">
        <w:t>para eventual contraprova.</w:t>
      </w:r>
    </w:p>
    <w:p w14:paraId="0BEFAE1B" w14:textId="60B7117C" w:rsidR="00AE6641" w:rsidRPr="00DE2E50" w:rsidRDefault="00AE6641" w:rsidP="00AE6641">
      <w:pPr>
        <w:pStyle w:val="Pargrafo11pt"/>
        <w:rPr>
          <w:rFonts w:cs="Arial"/>
          <w:szCs w:val="22"/>
        </w:rPr>
      </w:pPr>
      <w:r w:rsidRPr="00DE2E50">
        <w:rPr>
          <w:rFonts w:cs="Arial"/>
          <w:szCs w:val="22"/>
        </w:rPr>
        <w:t xml:space="preserve">Os ensaios dos elementos de alvenaria devem ser realizados de acordo com os métodos de ensaio descritos na ABNT NBR 16868-3, exceto pela espessura da junta que deve estar entre </w:t>
      </w:r>
      <w:r w:rsidR="00772A2F" w:rsidRPr="00DE2E50">
        <w:rPr>
          <w:rFonts w:cs="Arial"/>
          <w:szCs w:val="22"/>
        </w:rPr>
        <w:t>1,0</w:t>
      </w:r>
      <w:r w:rsidRPr="00DE2E50">
        <w:rPr>
          <w:rFonts w:cs="Arial"/>
          <w:szCs w:val="22"/>
        </w:rPr>
        <w:t xml:space="preserve"> e 3,0 mm, e com número de cordões igual ao que será utilizado na obra. Devem ser avaliados a resistência característica a compressão e também o módulo de elasticidade dos elementos.</w:t>
      </w:r>
    </w:p>
    <w:p w14:paraId="51DA63D4" w14:textId="419B4B0D" w:rsidR="00372600" w:rsidRDefault="00372600" w:rsidP="008F0C58">
      <w:r w:rsidRPr="00DE2E50">
        <w:t>Após o ensaio de pelo menos quatro lotes, com obtenção de coeficiente de variação inferior a 15% em todos os lotes, pode ser dispensada a realização de ensaios dos prismas</w:t>
      </w:r>
      <w:r w:rsidR="0043771F" w:rsidRPr="00DE2E50">
        <w:t xml:space="preserve"> ou pequenas paredes</w:t>
      </w:r>
      <w:r w:rsidRPr="00DE2E50">
        <w:t xml:space="preserve"> já construídos. No caso de não atendimento da</w:t>
      </w:r>
      <w:r w:rsidR="00915E16" w:rsidRPr="00DE2E50">
        <w:t>s propriedades dos</w:t>
      </w:r>
      <w:r w:rsidR="004379B7" w:rsidRPr="00DE2E50">
        <w:t xml:space="preserve"> blocos ou</w:t>
      </w:r>
      <w:r w:rsidRPr="00DE2E50">
        <w:t xml:space="preserve"> </w:t>
      </w:r>
      <w:r w:rsidR="00D039DF" w:rsidRPr="00DE2E50">
        <w:t xml:space="preserve">do </w:t>
      </w:r>
      <w:r w:rsidR="00915E16" w:rsidRPr="00DE2E50">
        <w:t>composto polimérico</w:t>
      </w:r>
      <w:r w:rsidRPr="00DE2E50">
        <w:t>, esses prismas devem ser ensaiados.</w:t>
      </w:r>
    </w:p>
    <w:p w14:paraId="23637F27" w14:textId="07EA8386" w:rsidR="0020080F" w:rsidRPr="00C003FB" w:rsidRDefault="0020080F" w:rsidP="00297EB6">
      <w:pPr>
        <w:pStyle w:val="Ttulo3"/>
        <w:rPr>
          <w:i w:val="0"/>
          <w:iCs/>
        </w:rPr>
      </w:pPr>
      <w:r w:rsidRPr="00C003FB">
        <w:rPr>
          <w:i w:val="0"/>
          <w:iCs/>
        </w:rPr>
        <w:t>Definição do lote</w:t>
      </w:r>
    </w:p>
    <w:p w14:paraId="79CCBD0B" w14:textId="77777777" w:rsidR="00372600" w:rsidRDefault="00372600" w:rsidP="008F0C58">
      <w:r>
        <w:t>É considerado lote para efeito do controle da qualidade da alvenaria o menor dos seguintes limites:</w:t>
      </w:r>
    </w:p>
    <w:p w14:paraId="3E7D39B2" w14:textId="67A514FB" w:rsidR="00372600" w:rsidRDefault="00372600" w:rsidP="000D6891">
      <w:pPr>
        <w:pStyle w:val="PargrafodaLista"/>
        <w:numPr>
          <w:ilvl w:val="0"/>
          <w:numId w:val="7"/>
        </w:numPr>
        <w:ind w:left="357" w:hanging="357"/>
      </w:pPr>
      <w:r>
        <w:t>600 m² de área construída em planta;</w:t>
      </w:r>
    </w:p>
    <w:p w14:paraId="651B2E50" w14:textId="77F7F200" w:rsidR="00372600" w:rsidRDefault="00372600" w:rsidP="000D6891">
      <w:pPr>
        <w:pStyle w:val="PargrafodaLista"/>
        <w:numPr>
          <w:ilvl w:val="0"/>
          <w:numId w:val="7"/>
        </w:numPr>
        <w:ind w:left="357" w:hanging="357"/>
      </w:pPr>
      <w:r>
        <w:t>dois pavimentos;</w:t>
      </w:r>
    </w:p>
    <w:p w14:paraId="5ECCAC4B" w14:textId="7E0BF1FE" w:rsidR="00372600" w:rsidRDefault="00372600" w:rsidP="000D6891">
      <w:pPr>
        <w:pStyle w:val="PargrafodaLista"/>
        <w:numPr>
          <w:ilvl w:val="0"/>
          <w:numId w:val="7"/>
        </w:numPr>
        <w:ind w:left="357" w:hanging="357"/>
      </w:pPr>
      <w:r>
        <w:t>blocos do mesmo fabricante, classe de resistência, espessura e família;</w:t>
      </w:r>
    </w:p>
    <w:p w14:paraId="122B5444" w14:textId="1DE50308" w:rsidR="00372600" w:rsidRDefault="00372600" w:rsidP="000D6891">
      <w:pPr>
        <w:pStyle w:val="PargrafodaLista"/>
        <w:numPr>
          <w:ilvl w:val="0"/>
          <w:numId w:val="7"/>
        </w:numPr>
        <w:ind w:left="357" w:hanging="357"/>
      </w:pPr>
      <w:r>
        <w:t>alvenarias que utilizem os mesmos materiais</w:t>
      </w:r>
      <w:r w:rsidR="007E6C47">
        <w:t>,</w:t>
      </w:r>
      <w:r>
        <w:t xml:space="preserve"> componentes e procedimentos para a execução.</w:t>
      </w:r>
    </w:p>
    <w:p w14:paraId="1F78FA2E" w14:textId="1B284C1C" w:rsidR="001A22BC" w:rsidRPr="00C003FB" w:rsidRDefault="001A22BC" w:rsidP="00297EB6">
      <w:pPr>
        <w:pStyle w:val="Ttulo3"/>
        <w:rPr>
          <w:i w:val="0"/>
          <w:iCs/>
        </w:rPr>
      </w:pPr>
      <w:r w:rsidRPr="00C003FB">
        <w:rPr>
          <w:i w:val="0"/>
          <w:iCs/>
        </w:rPr>
        <w:t>Definição da amostra</w:t>
      </w:r>
    </w:p>
    <w:p w14:paraId="43B0309E" w14:textId="15C051AA" w:rsidR="00372600" w:rsidRDefault="00372600" w:rsidP="008F0C58">
      <w:r>
        <w:t xml:space="preserve">A amostra-padrão de prisma deve conter seis exemplares. Cada exemplar é constituído de um corpo de prova. Recomenda-se a construção adicional de igual número de exemplares para eventual contraprova. </w:t>
      </w:r>
      <w:r w:rsidR="00B97660">
        <w:t>Alternativamente, a</w:t>
      </w:r>
      <w:r>
        <w:t xml:space="preserve"> amostra pode ser composta por um número mínimo de três exemplares, com o valor característico calculado conforme ABNT NBR 16868-3</w:t>
      </w:r>
      <w:r w:rsidR="001A22BC">
        <w:t>:2020</w:t>
      </w:r>
      <w:r>
        <w:t>, Anexo A.</w:t>
      </w:r>
    </w:p>
    <w:p w14:paraId="11A5C3A4" w14:textId="29DCACB7" w:rsidR="001A22BC" w:rsidRPr="008D61F9" w:rsidRDefault="001A22BC" w:rsidP="008D61F9">
      <w:pPr>
        <w:pStyle w:val="Ttulo4"/>
        <w:ind w:left="851" w:hanging="851"/>
        <w:rPr>
          <w:i w:val="0"/>
          <w:iCs/>
          <w:u w:val="none"/>
        </w:rPr>
      </w:pPr>
      <w:r w:rsidRPr="008D61F9">
        <w:rPr>
          <w:i w:val="0"/>
          <w:iCs/>
          <w:u w:val="none"/>
        </w:rPr>
        <w:t>Aceitação</w:t>
      </w:r>
    </w:p>
    <w:p w14:paraId="11E49E27" w14:textId="0813C7EE" w:rsidR="0062676F" w:rsidRPr="00965B89" w:rsidRDefault="00372600" w:rsidP="008F0C58">
      <w:r>
        <w:t>Para a alvenaria de um determinado lot</w:t>
      </w:r>
      <w:r w:rsidR="00E1084B">
        <w:t>e</w:t>
      </w:r>
      <w:r>
        <w:t xml:space="preserve"> ser aceita, a resistência característica estimada da </w:t>
      </w:r>
      <w:r w:rsidRPr="00965B89">
        <w:t xml:space="preserve">amostra ou contraprova de prisma </w:t>
      </w:r>
      <w:r w:rsidR="00DB667E" w:rsidRPr="00965B89">
        <w:t xml:space="preserve">ou pequena parede, </w:t>
      </w:r>
      <w:r w:rsidRPr="00965B89">
        <w:t>deve ser maior ou igual à resistência especificada de projeto.</w:t>
      </w:r>
    </w:p>
    <w:p w14:paraId="74549EF2" w14:textId="01CE695F" w:rsidR="00372600" w:rsidRPr="001811B2" w:rsidRDefault="00372600" w:rsidP="008F0C58">
      <w:r w:rsidRPr="00965B89">
        <w:t>Para a alvenaria ser aceita, devem</w:t>
      </w:r>
      <w:r w:rsidR="007A7A2A" w:rsidRPr="00965B89">
        <w:t xml:space="preserve"> obrigatoriamente</w:t>
      </w:r>
      <w:r w:rsidRPr="00965B89">
        <w:t xml:space="preserve"> ser atendidos os requisitos </w:t>
      </w:r>
      <w:r w:rsidR="00F119E3" w:rsidRPr="00965B89">
        <w:t>previsto</w:t>
      </w:r>
      <w:r w:rsidR="001811B2" w:rsidRPr="00965B89">
        <w:t>s</w:t>
      </w:r>
      <w:r w:rsidR="00F119E3" w:rsidRPr="00965B89">
        <w:t xml:space="preserve"> </w:t>
      </w:r>
      <w:r w:rsidR="00CF51DF" w:rsidRPr="00965B89">
        <w:t>na seção 9</w:t>
      </w:r>
      <w:r w:rsidR="001811B2" w:rsidRPr="00965B89">
        <w:t xml:space="preserve"> desta Norma</w:t>
      </w:r>
      <w:r w:rsidRPr="00965B89">
        <w:t>.</w:t>
      </w:r>
    </w:p>
    <w:p w14:paraId="51257D03" w14:textId="79911E50" w:rsidR="003809D3" w:rsidRPr="008D61F9" w:rsidRDefault="00223613" w:rsidP="00297EB6">
      <w:pPr>
        <w:pStyle w:val="Ttulo1"/>
        <w:rPr>
          <w:sz w:val="26"/>
          <w:szCs w:val="26"/>
        </w:rPr>
      </w:pPr>
      <w:bookmarkStart w:id="45" w:name="_Ref186209559"/>
      <w:r w:rsidRPr="008D61F9">
        <w:rPr>
          <w:sz w:val="26"/>
          <w:szCs w:val="26"/>
        </w:rPr>
        <w:t>Produção da alvenaria</w:t>
      </w:r>
      <w:bookmarkEnd w:id="45"/>
    </w:p>
    <w:p w14:paraId="5D98E9AB" w14:textId="6A556B24" w:rsidR="003916B1" w:rsidRPr="003916B1" w:rsidRDefault="003916B1" w:rsidP="003916B1">
      <w:r>
        <w:t>Para assegurar que a alvenaria seja construída conforme projetada, obrigatoriamente devem ser observados os procedimentos determinados nesta seção</w:t>
      </w:r>
      <w:r w:rsidR="003F430F">
        <w:t xml:space="preserve"> desta Norma.</w:t>
      </w:r>
    </w:p>
    <w:p w14:paraId="1F1661C4" w14:textId="0B83864C" w:rsidR="00F66F58" w:rsidRPr="008D61F9" w:rsidRDefault="00F66F58" w:rsidP="00297EB6">
      <w:pPr>
        <w:pStyle w:val="Ttulo2"/>
        <w:rPr>
          <w:sz w:val="24"/>
          <w:szCs w:val="24"/>
        </w:rPr>
      </w:pPr>
      <w:bookmarkStart w:id="46" w:name="_Ref186235412"/>
      <w:r w:rsidRPr="008D61F9">
        <w:rPr>
          <w:sz w:val="24"/>
          <w:szCs w:val="24"/>
        </w:rPr>
        <w:lastRenderedPageBreak/>
        <w:t>Requisitos</w:t>
      </w:r>
      <w:r w:rsidR="006B605E" w:rsidRPr="008D61F9">
        <w:rPr>
          <w:sz w:val="24"/>
          <w:szCs w:val="24"/>
        </w:rPr>
        <w:t xml:space="preserve"> </w:t>
      </w:r>
      <w:r w:rsidR="00E54CF1" w:rsidRPr="008D61F9">
        <w:rPr>
          <w:sz w:val="24"/>
          <w:szCs w:val="24"/>
        </w:rPr>
        <w:t>iniciais</w:t>
      </w:r>
      <w:r w:rsidR="006B605E" w:rsidRPr="008D61F9">
        <w:rPr>
          <w:sz w:val="24"/>
          <w:szCs w:val="24"/>
        </w:rPr>
        <w:t xml:space="preserve"> para execução</w:t>
      </w:r>
      <w:bookmarkEnd w:id="46"/>
    </w:p>
    <w:p w14:paraId="4C912194" w14:textId="4850F883" w:rsidR="000F69C5" w:rsidRDefault="000F69C5" w:rsidP="000F69C5">
      <w:r>
        <w:t xml:space="preserve">Antes do início da </w:t>
      </w:r>
      <w:r w:rsidR="00AB601C">
        <w:t>execução</w:t>
      </w:r>
      <w:r>
        <w:t>, deve-se verificar:</w:t>
      </w:r>
    </w:p>
    <w:p w14:paraId="76C21B88" w14:textId="6037B86A" w:rsidR="000F69C5" w:rsidRDefault="000F69C5" w:rsidP="000D6891">
      <w:pPr>
        <w:pStyle w:val="PargrafodaLista"/>
        <w:numPr>
          <w:ilvl w:val="0"/>
          <w:numId w:val="9"/>
        </w:numPr>
        <w:ind w:left="357" w:hanging="357"/>
      </w:pPr>
      <w:r>
        <w:t xml:space="preserve">a locação, esquadros e nivelamento da base de assentamento da alvenaria conforme tolerâncias descritas nesta </w:t>
      </w:r>
      <w:r w:rsidR="006B11AE">
        <w:t>s</w:t>
      </w:r>
      <w:r>
        <w:t>eção ou especificadas no projeto;</w:t>
      </w:r>
    </w:p>
    <w:p w14:paraId="0FA71869" w14:textId="46DD45CC" w:rsidR="000F69C5" w:rsidRDefault="000F69C5" w:rsidP="000D6891">
      <w:pPr>
        <w:pStyle w:val="PargrafodaLista"/>
        <w:numPr>
          <w:ilvl w:val="0"/>
          <w:numId w:val="9"/>
        </w:numPr>
        <w:ind w:left="357" w:hanging="357"/>
      </w:pPr>
      <w:r>
        <w:t>o posicionamento dos reforços metálicos e das tubulações de acordo com o projeto;</w:t>
      </w:r>
    </w:p>
    <w:p w14:paraId="18602C1E" w14:textId="74EB44F4" w:rsidR="000F69C5" w:rsidRDefault="000F69C5" w:rsidP="000D6891">
      <w:pPr>
        <w:pStyle w:val="PargrafodaLista"/>
        <w:numPr>
          <w:ilvl w:val="0"/>
          <w:numId w:val="9"/>
        </w:numPr>
        <w:ind w:left="357" w:hanging="357"/>
      </w:pPr>
      <w:r>
        <w:t xml:space="preserve">a limpeza da laje, ou viga, sobre </w:t>
      </w:r>
      <w:r w:rsidR="005A017A">
        <w:t>a qual</w:t>
      </w:r>
      <w:r>
        <w:t xml:space="preserve"> a alvenaria </w:t>
      </w:r>
      <w:r w:rsidR="006B11AE">
        <w:t>será</w:t>
      </w:r>
      <w:r>
        <w:t xml:space="preserve"> executada, quanto a materiais que possam prejudicar a </w:t>
      </w:r>
      <w:r w:rsidR="00BB5F4F">
        <w:t>fixação da primeira fiada junto à base;</w:t>
      </w:r>
    </w:p>
    <w:p w14:paraId="3C8948AD" w14:textId="00C14AB1" w:rsidR="000F69C5" w:rsidRDefault="000F69C5" w:rsidP="000D6891">
      <w:pPr>
        <w:pStyle w:val="PargrafodaLista"/>
        <w:numPr>
          <w:ilvl w:val="0"/>
          <w:numId w:val="9"/>
        </w:numPr>
        <w:ind w:left="357" w:hanging="357"/>
      </w:pPr>
      <w:r>
        <w:t>a limpeza dos blocos e peças pré-fabricadas, que devem estar isentos de materiais que prejudiquem sua aplicação e desempenho.</w:t>
      </w:r>
    </w:p>
    <w:p w14:paraId="04FC18B7" w14:textId="5B749968" w:rsidR="00F66F58" w:rsidRPr="008D61F9" w:rsidRDefault="00F66F58" w:rsidP="00297EB6">
      <w:pPr>
        <w:pStyle w:val="Ttulo2"/>
        <w:rPr>
          <w:sz w:val="24"/>
          <w:szCs w:val="24"/>
        </w:rPr>
      </w:pPr>
      <w:bookmarkStart w:id="47" w:name="_Ref186195445"/>
      <w:r w:rsidRPr="008D61F9">
        <w:rPr>
          <w:sz w:val="24"/>
          <w:szCs w:val="24"/>
        </w:rPr>
        <w:t>Locação das paredes de alvenaria</w:t>
      </w:r>
      <w:bookmarkEnd w:id="47"/>
    </w:p>
    <w:p w14:paraId="16929667" w14:textId="28AA6C53" w:rsidR="007E4E61" w:rsidRPr="008D61F9" w:rsidRDefault="00361DEC" w:rsidP="00297EB6">
      <w:pPr>
        <w:pStyle w:val="Ttulo3"/>
        <w:rPr>
          <w:i w:val="0"/>
          <w:iCs/>
        </w:rPr>
      </w:pPr>
      <w:r w:rsidRPr="008D61F9">
        <w:rPr>
          <w:i w:val="0"/>
          <w:iCs/>
        </w:rPr>
        <w:t>Eixos referenciais planimétricos</w:t>
      </w:r>
    </w:p>
    <w:p w14:paraId="738DA1F9" w14:textId="17A1BFF7" w:rsidR="007E4E61" w:rsidRDefault="00361DEC" w:rsidP="00361DEC">
      <w:r w:rsidRPr="00361DEC">
        <w:rPr>
          <w:rStyle w:val="Forte"/>
          <w:b w:val="0"/>
          <w:bCs w:val="0"/>
        </w:rPr>
        <w:t>Dentre outras atividades operacionais, principalmente a</w:t>
      </w:r>
      <w:r w:rsidR="007E4E61" w:rsidRPr="00361DEC">
        <w:t xml:space="preserve"> marcação da alvenaria influencia na precisão geométrica do conjunto de paredes que são elevadas. Os eixos de referência das medidas que localizam as paredes, a cada pavimento, devem estar indicados no projeto.</w:t>
      </w:r>
    </w:p>
    <w:p w14:paraId="019D5253" w14:textId="313435D8" w:rsidR="005911CE" w:rsidRPr="008D61F9" w:rsidRDefault="005911CE" w:rsidP="008D61F9">
      <w:pPr>
        <w:pStyle w:val="Ttulo4"/>
        <w:ind w:left="646" w:hanging="646"/>
        <w:rPr>
          <w:i w:val="0"/>
          <w:iCs/>
          <w:u w:val="none"/>
        </w:rPr>
      </w:pPr>
      <w:r w:rsidRPr="008D61F9">
        <w:rPr>
          <w:i w:val="0"/>
          <w:iCs/>
          <w:u w:val="none"/>
        </w:rPr>
        <w:t>Tolerâncias da variação do nível da superfície de apoio da alvenaria</w:t>
      </w:r>
    </w:p>
    <w:p w14:paraId="37FE674D" w14:textId="62A578AC" w:rsidR="00E54CF1" w:rsidRDefault="007E4E61" w:rsidP="007E4E61">
      <w:r>
        <w:t xml:space="preserve">A variação do nível da superfície de apoio da alvenaria não pode ultrapassar ± 10 mm em relação ao plano especificado. Na </w:t>
      </w:r>
      <w:r w:rsidRPr="00A01257">
        <w:t xml:space="preserve">Figura </w:t>
      </w:r>
      <w:r w:rsidR="00A01257" w:rsidRPr="00A01257">
        <w:t>1</w:t>
      </w:r>
      <w:r>
        <w:t xml:space="preserve"> está indicado o caso de apoio sobre laje. Para o apoio sobre viga, o critério é o mesmo.</w:t>
      </w:r>
    </w:p>
    <w:p w14:paraId="450609D0" w14:textId="32BBE0E9" w:rsidR="00A01257" w:rsidRDefault="00EB5EF0" w:rsidP="00A01257">
      <w:pPr>
        <w:keepNext/>
        <w:jc w:val="center"/>
      </w:pPr>
      <w:r>
        <w:rPr>
          <w:noProof/>
        </w:rPr>
        <w:drawing>
          <wp:inline distT="0" distB="0" distL="0" distR="0" wp14:anchorId="62937E2A" wp14:editId="527192B0">
            <wp:extent cx="5036512" cy="1752600"/>
            <wp:effectExtent l="0" t="0" r="0" b="0"/>
            <wp:docPr id="206042327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5787" cy="1755827"/>
                    </a:xfrm>
                    <a:prstGeom prst="rect">
                      <a:avLst/>
                    </a:prstGeom>
                    <a:noFill/>
                    <a:ln>
                      <a:noFill/>
                    </a:ln>
                  </pic:spPr>
                </pic:pic>
              </a:graphicData>
            </a:graphic>
          </wp:inline>
        </w:drawing>
      </w:r>
    </w:p>
    <w:p w14:paraId="61C5F058" w14:textId="3AEAC29D" w:rsidR="005911CE" w:rsidRPr="004313A2" w:rsidRDefault="00A01257" w:rsidP="00A01257">
      <w:pPr>
        <w:pStyle w:val="Legenda"/>
        <w:jc w:val="center"/>
        <w:rPr>
          <w:b/>
          <w:bCs/>
          <w:i w:val="0"/>
          <w:iCs w:val="0"/>
          <w:color w:val="000000" w:themeColor="text1"/>
          <w:sz w:val="22"/>
          <w:szCs w:val="22"/>
        </w:rPr>
      </w:pPr>
      <w:r w:rsidRPr="004313A2">
        <w:rPr>
          <w:b/>
          <w:bCs/>
          <w:i w:val="0"/>
          <w:iCs w:val="0"/>
          <w:color w:val="000000" w:themeColor="text1"/>
          <w:sz w:val="22"/>
          <w:szCs w:val="22"/>
        </w:rPr>
        <w:t xml:space="preserve">Figura </w:t>
      </w:r>
      <w:r w:rsidRPr="004313A2">
        <w:rPr>
          <w:b/>
          <w:bCs/>
          <w:i w:val="0"/>
          <w:iCs w:val="0"/>
          <w:color w:val="000000" w:themeColor="text1"/>
          <w:sz w:val="22"/>
          <w:szCs w:val="22"/>
        </w:rPr>
        <w:fldChar w:fldCharType="begin"/>
      </w:r>
      <w:r w:rsidRPr="004313A2">
        <w:rPr>
          <w:b/>
          <w:bCs/>
          <w:i w:val="0"/>
          <w:iCs w:val="0"/>
          <w:color w:val="000000" w:themeColor="text1"/>
          <w:sz w:val="22"/>
          <w:szCs w:val="22"/>
        </w:rPr>
        <w:instrText xml:space="preserve"> SEQ Figura \* ARABIC </w:instrText>
      </w:r>
      <w:r w:rsidRPr="004313A2">
        <w:rPr>
          <w:b/>
          <w:bCs/>
          <w:i w:val="0"/>
          <w:iCs w:val="0"/>
          <w:color w:val="000000" w:themeColor="text1"/>
          <w:sz w:val="22"/>
          <w:szCs w:val="22"/>
        </w:rPr>
        <w:fldChar w:fldCharType="separate"/>
      </w:r>
      <w:r w:rsidR="00BB30C3">
        <w:rPr>
          <w:b/>
          <w:bCs/>
          <w:i w:val="0"/>
          <w:iCs w:val="0"/>
          <w:noProof/>
          <w:color w:val="000000" w:themeColor="text1"/>
          <w:sz w:val="22"/>
          <w:szCs w:val="22"/>
        </w:rPr>
        <w:t>1</w:t>
      </w:r>
      <w:r w:rsidRPr="004313A2">
        <w:rPr>
          <w:b/>
          <w:bCs/>
          <w:i w:val="0"/>
          <w:iCs w:val="0"/>
          <w:color w:val="000000" w:themeColor="text1"/>
          <w:sz w:val="22"/>
          <w:szCs w:val="22"/>
        </w:rPr>
        <w:fldChar w:fldCharType="end"/>
      </w:r>
      <w:r w:rsidRPr="004313A2">
        <w:rPr>
          <w:b/>
          <w:bCs/>
          <w:i w:val="0"/>
          <w:iCs w:val="0"/>
          <w:color w:val="000000" w:themeColor="text1"/>
          <w:sz w:val="22"/>
          <w:szCs w:val="22"/>
        </w:rPr>
        <w:t xml:space="preserve"> </w:t>
      </w:r>
      <w:r w:rsidR="004313A2" w:rsidRPr="004313A2">
        <w:rPr>
          <w:b/>
          <w:bCs/>
          <w:i w:val="0"/>
          <w:iCs w:val="0"/>
          <w:color w:val="000000" w:themeColor="text1"/>
          <w:sz w:val="22"/>
          <w:szCs w:val="22"/>
        </w:rPr>
        <w:t>— Variação do nível de superfície da laje de apoio da alvenaria</w:t>
      </w:r>
    </w:p>
    <w:p w14:paraId="31E8BDB3" w14:textId="2D1A99BA" w:rsidR="00F50BD0" w:rsidRPr="004313A2" w:rsidRDefault="00AF4891" w:rsidP="004313A2">
      <w:pPr>
        <w:pStyle w:val="Ttulo4"/>
        <w:ind w:left="646" w:hanging="646"/>
        <w:rPr>
          <w:i w:val="0"/>
          <w:iCs/>
          <w:u w:val="none"/>
        </w:rPr>
      </w:pPr>
      <w:bookmarkStart w:id="48" w:name="_Ref186237541"/>
      <w:r w:rsidRPr="004313A2">
        <w:rPr>
          <w:i w:val="0"/>
          <w:iCs/>
          <w:u w:val="none"/>
        </w:rPr>
        <w:t>Execução da primeira fiada</w:t>
      </w:r>
      <w:bookmarkEnd w:id="48"/>
    </w:p>
    <w:p w14:paraId="5518C2E7" w14:textId="125B1A22" w:rsidR="00FA0C04" w:rsidRDefault="00F05B42" w:rsidP="00550296">
      <w:r>
        <w:t>O assentamento dos blocos constituintes da primeira fiada deve ser realizado com argamassa</w:t>
      </w:r>
      <w:r w:rsidR="00974304">
        <w:t xml:space="preserve"> cimentícia </w:t>
      </w:r>
      <w:r w:rsidR="004570A4">
        <w:t>de classe AAE5 conforme ABNT NBR 13281-2</w:t>
      </w:r>
      <w:r w:rsidR="00FA0C04">
        <w:t>.</w:t>
      </w:r>
    </w:p>
    <w:p w14:paraId="5809F4A7" w14:textId="4B185AE8" w:rsidR="00984201" w:rsidRDefault="00FA0C04" w:rsidP="00297EB6">
      <w:r>
        <w:t>N</w:t>
      </w:r>
      <w:r w:rsidR="00984201">
        <w:t xml:space="preserve">o caso específico de argamassas preparadas em obra, os insumos </w:t>
      </w:r>
      <w:r w:rsidR="00862CB6">
        <w:t>compõem</w:t>
      </w:r>
      <w:r w:rsidR="00984201">
        <w:t xml:space="preserve"> </w:t>
      </w:r>
      <w:r w:rsidR="00223882">
        <w:t xml:space="preserve">a mistura devem atender às </w:t>
      </w:r>
      <w:r w:rsidR="00646E00">
        <w:t>seguintes normas:</w:t>
      </w:r>
    </w:p>
    <w:p w14:paraId="3DB5D0D9" w14:textId="531B3FF8" w:rsidR="00646E00" w:rsidRDefault="006361FA" w:rsidP="00C944A0">
      <w:pPr>
        <w:pStyle w:val="PargrafodaLista"/>
        <w:numPr>
          <w:ilvl w:val="0"/>
          <w:numId w:val="4"/>
        </w:numPr>
        <w:ind w:left="714" w:hanging="357"/>
      </w:pPr>
      <w:r>
        <w:t>cimento: ABNT NBR 16697;</w:t>
      </w:r>
    </w:p>
    <w:p w14:paraId="4A6FB112" w14:textId="0DF72340" w:rsidR="006361FA" w:rsidRDefault="006361FA" w:rsidP="00C944A0">
      <w:pPr>
        <w:pStyle w:val="PargrafodaLista"/>
        <w:numPr>
          <w:ilvl w:val="0"/>
          <w:numId w:val="4"/>
        </w:numPr>
        <w:ind w:left="714" w:hanging="357"/>
      </w:pPr>
      <w:r>
        <w:lastRenderedPageBreak/>
        <w:t>cal: ABNT NBR 7175;</w:t>
      </w:r>
    </w:p>
    <w:p w14:paraId="4927D95D" w14:textId="16E79A8F" w:rsidR="006361FA" w:rsidRDefault="006361FA" w:rsidP="00C944A0">
      <w:pPr>
        <w:pStyle w:val="PargrafodaLista"/>
        <w:numPr>
          <w:ilvl w:val="0"/>
          <w:numId w:val="4"/>
        </w:numPr>
        <w:ind w:left="714" w:hanging="357"/>
      </w:pPr>
      <w:r>
        <w:t>areia: ABNT NBR 7211.</w:t>
      </w:r>
    </w:p>
    <w:p w14:paraId="0986ECAD" w14:textId="43CE0351" w:rsidR="00292F2B" w:rsidRPr="004313A2" w:rsidRDefault="00292F2B" w:rsidP="001E2EEB">
      <w:pPr>
        <w:pStyle w:val="Ttulo5"/>
        <w:ind w:left="794" w:hanging="794"/>
        <w:rPr>
          <w:b/>
          <w:bCs/>
          <w:i w:val="0"/>
          <w:iCs w:val="0"/>
        </w:rPr>
      </w:pPr>
      <w:bookmarkStart w:id="49" w:name="_Ref186195464"/>
      <w:r w:rsidRPr="004313A2">
        <w:rPr>
          <w:b/>
          <w:bCs/>
          <w:i w:val="0"/>
          <w:iCs w:val="0"/>
        </w:rPr>
        <w:t>Espessuras e tolerâncias geométricas</w:t>
      </w:r>
      <w:r w:rsidR="00417BB6" w:rsidRPr="004313A2">
        <w:rPr>
          <w:b/>
          <w:bCs/>
          <w:i w:val="0"/>
          <w:iCs w:val="0"/>
        </w:rPr>
        <w:t xml:space="preserve"> para a primeira fiada</w:t>
      </w:r>
    </w:p>
    <w:p w14:paraId="17FC085F" w14:textId="53F56DED" w:rsidR="00463544" w:rsidRDefault="00C73597" w:rsidP="00A87E56">
      <w:r>
        <w:t>Em se tratando de uma alvenaria de junta fina, é fundamental</w:t>
      </w:r>
      <w:r w:rsidR="006907AB">
        <w:t xml:space="preserve"> que o </w:t>
      </w:r>
      <w:r w:rsidR="00ED41A7">
        <w:t xml:space="preserve">prumo, nível e alinhamento das unidades modulares componentes da primeira fiada sejam </w:t>
      </w:r>
      <w:r w:rsidR="007C04C5">
        <w:t>controlados pormenorizada</w:t>
      </w:r>
      <w:r w:rsidR="00873663">
        <w:t xml:space="preserve"> e restritivamente, </w:t>
      </w:r>
      <w:r w:rsidR="00F96955">
        <w:t xml:space="preserve">respeitando </w:t>
      </w:r>
      <w:r w:rsidR="00054CFE">
        <w:t>o</w:t>
      </w:r>
      <w:r w:rsidR="00F96955">
        <w:t xml:space="preserve"> limite </w:t>
      </w:r>
      <w:r w:rsidR="00054CFE">
        <w:t xml:space="preserve">de ± </w:t>
      </w:r>
      <w:r w:rsidR="00586ECD">
        <w:t>3 mm</w:t>
      </w:r>
      <w:r w:rsidR="00F96955">
        <w:t xml:space="preserve"> </w:t>
      </w:r>
      <w:r w:rsidR="00054CFE">
        <w:t>para</w:t>
      </w:r>
      <w:r w:rsidR="00F96955">
        <w:t xml:space="preserve"> </w:t>
      </w:r>
      <w:r w:rsidR="00DD0254">
        <w:t xml:space="preserve">quaisquer </w:t>
      </w:r>
      <w:r w:rsidR="00F96955">
        <w:t>desvios geométricos</w:t>
      </w:r>
      <w:r w:rsidR="00054CFE">
        <w:t>.</w:t>
      </w:r>
    </w:p>
    <w:p w14:paraId="1A0E5652" w14:textId="00644A21" w:rsidR="00A87E56" w:rsidRDefault="00A87E56" w:rsidP="00A87E56">
      <w:r>
        <w:t>O valor mínimo da espessura da junta horizontal de argamassa de assentamento dos blocos da primeira fiada é de 5 mm e o valor máximo não pode ultrapassar 20 mm</w:t>
      </w:r>
      <w:r w:rsidR="00DA0037">
        <w:t>;</w:t>
      </w:r>
      <w:r>
        <w:t xml:space="preserve"> admitindo-se espessuras de no máximo 30 mm em trechos de comprimento inferiores a 500 mm. Caso seja verificada a necessidade de espessura superior ao valor máximo, deve ser feito um nivelamento com material com a mesma resistência da laje ou da viga.</w:t>
      </w:r>
    </w:p>
    <w:p w14:paraId="594B05CA" w14:textId="227C9148" w:rsidR="005C3686" w:rsidRDefault="005C3686" w:rsidP="00A87E56">
      <w:r>
        <w:t xml:space="preserve">As juntas verticais da primeira fiada devem obrigatoriamente possuir espessura </w:t>
      </w:r>
      <w:r w:rsidR="00576A7F" w:rsidRPr="007F3836">
        <w:t>maior</w:t>
      </w:r>
      <w:r w:rsidR="00576A7F">
        <w:t xml:space="preserve"> do</w:t>
      </w:r>
      <w:r w:rsidR="00576A7F" w:rsidRPr="007F3836">
        <w:t xml:space="preserve"> que </w:t>
      </w:r>
      <w:r w:rsidR="00772A2F">
        <w:t>1,0</w:t>
      </w:r>
      <w:r w:rsidR="00576A7F" w:rsidRPr="007F3836">
        <w:t xml:space="preserve"> mm e menor </w:t>
      </w:r>
      <w:r w:rsidR="00576A7F">
        <w:t xml:space="preserve">do </w:t>
      </w:r>
      <w:r w:rsidR="00576A7F" w:rsidRPr="007F3836">
        <w:t xml:space="preserve">que </w:t>
      </w:r>
      <w:r w:rsidR="00576A7F">
        <w:t>3</w:t>
      </w:r>
      <w:r w:rsidR="00576A7F" w:rsidRPr="007F3836">
        <w:t>,0 mm</w:t>
      </w:r>
      <w:r w:rsidR="00D17466">
        <w:t>.</w:t>
      </w:r>
    </w:p>
    <w:p w14:paraId="1F78DEB1" w14:textId="1FDE40F7" w:rsidR="003C6BDE" w:rsidRPr="00752C27" w:rsidRDefault="003C6BDE" w:rsidP="00A87E56">
      <w:r w:rsidRPr="00752C27">
        <w:t xml:space="preserve">Os blocos podem ser assentados com “juntas secas”, </w:t>
      </w:r>
      <w:r w:rsidR="00BD7224" w:rsidRPr="00752C27">
        <w:t>as quais deverão, nesse caso, serem preenchidas posteriormente com a mesma argamassa de assentamento da primeira fiada ou com o composto polimérico a ser utilizado</w:t>
      </w:r>
      <w:r w:rsidR="00337646" w:rsidRPr="00752C27">
        <w:t xml:space="preserve"> na etapa de elevação da respectiva alvenaria.</w:t>
      </w:r>
    </w:p>
    <w:p w14:paraId="0C64FA15" w14:textId="1402CFA1" w:rsidR="00237238" w:rsidRPr="00A47698" w:rsidRDefault="004E1014" w:rsidP="00C315BB">
      <w:pPr>
        <w:pStyle w:val="Ttulo2"/>
      </w:pPr>
      <w:bookmarkStart w:id="50" w:name="_Ref186235425"/>
      <w:r w:rsidRPr="00A47698">
        <w:t xml:space="preserve">Elevação </w:t>
      </w:r>
      <w:r w:rsidR="00237238" w:rsidRPr="00A47698">
        <w:t>das paredes de alvenaria</w:t>
      </w:r>
      <w:bookmarkEnd w:id="49"/>
      <w:bookmarkEnd w:id="50"/>
    </w:p>
    <w:p w14:paraId="68EEC204" w14:textId="10D2E5CC" w:rsidR="00EB6FE0" w:rsidRPr="004313A2" w:rsidRDefault="00EB6FE0" w:rsidP="00EB6FE0">
      <w:r w:rsidRPr="00A47698">
        <w:t>São considerados essenciais para o desempenho da parede</w:t>
      </w:r>
      <w:r w:rsidR="00B3439A" w:rsidRPr="00A47698">
        <w:t xml:space="preserve"> e, portanto, obrigatórios</w:t>
      </w:r>
      <w:r w:rsidR="00C95BB7" w:rsidRPr="00A47698">
        <w:t>,</w:t>
      </w:r>
      <w:r w:rsidRPr="00A47698">
        <w:t xml:space="preserve"> o cumprimento das tolerâncias </w:t>
      </w:r>
      <w:r w:rsidR="00C95BB7" w:rsidRPr="00A47698">
        <w:t xml:space="preserve">geométricas </w:t>
      </w:r>
      <w:r w:rsidR="00677067" w:rsidRPr="00A47698">
        <w:t>apontadas nesta seção</w:t>
      </w:r>
      <w:r w:rsidR="006C4DDC" w:rsidRPr="00A47698">
        <w:t>, resumidas na</w:t>
      </w:r>
      <w:r w:rsidR="00A47698" w:rsidRPr="00A47698">
        <w:br/>
        <w:t>T</w:t>
      </w:r>
      <w:r w:rsidR="006C4DDC" w:rsidRPr="00A47698">
        <w:t>abela 1</w:t>
      </w:r>
      <w:r w:rsidR="00677067" w:rsidRPr="00A47698">
        <w:t>.</w:t>
      </w:r>
    </w:p>
    <w:p w14:paraId="46405E53" w14:textId="1C2CAE22" w:rsidR="008707D6" w:rsidRPr="00A47698" w:rsidRDefault="00A95CF4" w:rsidP="00CF7B48">
      <w:pPr>
        <w:pStyle w:val="Ttulo3"/>
        <w:rPr>
          <w:i w:val="0"/>
          <w:iCs/>
        </w:rPr>
      </w:pPr>
      <w:bookmarkStart w:id="51" w:name="_Ref186315389"/>
      <w:r w:rsidRPr="00A47698">
        <w:rPr>
          <w:i w:val="0"/>
          <w:iCs/>
        </w:rPr>
        <w:t>Assentamento dos blocos</w:t>
      </w:r>
      <w:r w:rsidR="00EB3D17" w:rsidRPr="00A47698">
        <w:rPr>
          <w:i w:val="0"/>
          <w:iCs/>
        </w:rPr>
        <w:t xml:space="preserve"> </w:t>
      </w:r>
      <w:bookmarkEnd w:id="51"/>
    </w:p>
    <w:p w14:paraId="44F373FA" w14:textId="0D04B720" w:rsidR="006B3AF0" w:rsidRDefault="00033AAE" w:rsidP="006B3AF0">
      <w:r>
        <w:t>O composto polimérico deve ser aplicado em no mínimo dois cordões</w:t>
      </w:r>
      <w:r w:rsidR="00583C04">
        <w:t xml:space="preserve"> longitudinais</w:t>
      </w:r>
      <w:r w:rsidR="00510D55">
        <w:t xml:space="preserve"> tanto na composição das juntas horizontais quanto verticais</w:t>
      </w:r>
      <w:r w:rsidR="00DC66F7">
        <w:t xml:space="preserve">, </w:t>
      </w:r>
      <w:r w:rsidR="001E2EEB">
        <w:t xml:space="preserve">conforme Figura 2, </w:t>
      </w:r>
      <w:r w:rsidR="006D4BF3">
        <w:t xml:space="preserve">estas também obrigatórias, </w:t>
      </w:r>
      <w:r w:rsidR="00F312DD">
        <w:t xml:space="preserve">cuja espessura </w:t>
      </w:r>
      <w:r>
        <w:t xml:space="preserve">anterior ao assentamento </w:t>
      </w:r>
      <w:r w:rsidR="0046050E">
        <w:t xml:space="preserve">das unidades modulares </w:t>
      </w:r>
      <w:r>
        <w:t>de</w:t>
      </w:r>
      <w:r w:rsidR="00F312DD">
        <w:t>ve ser de</w:t>
      </w:r>
      <w:r>
        <w:t xml:space="preserve"> 10 mm ± 2 mm sobre a superfície de assentamento</w:t>
      </w:r>
      <w:r w:rsidR="00920F26">
        <w:t>.</w:t>
      </w:r>
      <w:r w:rsidR="006B3AF0">
        <w:t xml:space="preserve"> Após o assentamento, as juntas horizontais devem entre 1,0 mm e 3,0 mm, obrigatoriamente.</w:t>
      </w:r>
    </w:p>
    <w:p w14:paraId="702091D5" w14:textId="4AB51051" w:rsidR="00920F26" w:rsidRDefault="00920F26" w:rsidP="00033AAE"/>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4247"/>
      </w:tblGrid>
      <w:tr w:rsidR="00EB5EF0" w14:paraId="42A8788C" w14:textId="77777777" w:rsidTr="00EB5EF0">
        <w:tc>
          <w:tcPr>
            <w:tcW w:w="4247" w:type="dxa"/>
            <w:vAlign w:val="center"/>
          </w:tcPr>
          <w:p w14:paraId="67478B66" w14:textId="56BD43FC" w:rsidR="00EB5EF0" w:rsidRDefault="00EB5EF0" w:rsidP="00EB5EF0">
            <w:pPr>
              <w:jc w:val="center"/>
            </w:pPr>
            <w:r w:rsidRPr="00EB5EF0">
              <w:rPr>
                <w:noProof/>
              </w:rPr>
              <w:lastRenderedPageBreak/>
              <w:drawing>
                <wp:inline distT="0" distB="0" distL="0" distR="0" wp14:anchorId="35E5F7C2" wp14:editId="55830CCB">
                  <wp:extent cx="2184400" cy="2700289"/>
                  <wp:effectExtent l="0" t="0" r="6350" b="5080"/>
                  <wp:docPr id="13757131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13185" name=""/>
                          <pic:cNvPicPr/>
                        </pic:nvPicPr>
                        <pic:blipFill>
                          <a:blip r:embed="rId9"/>
                          <a:stretch>
                            <a:fillRect/>
                          </a:stretch>
                        </pic:blipFill>
                        <pic:spPr>
                          <a:xfrm>
                            <a:off x="0" y="0"/>
                            <a:ext cx="2196972" cy="2715831"/>
                          </a:xfrm>
                          <a:prstGeom prst="rect">
                            <a:avLst/>
                          </a:prstGeom>
                        </pic:spPr>
                      </pic:pic>
                    </a:graphicData>
                  </a:graphic>
                </wp:inline>
              </w:drawing>
            </w:r>
          </w:p>
        </w:tc>
        <w:tc>
          <w:tcPr>
            <w:tcW w:w="4247" w:type="dxa"/>
            <w:vAlign w:val="center"/>
          </w:tcPr>
          <w:p w14:paraId="3EBBB8AC" w14:textId="02BD25B9" w:rsidR="00EB5EF0" w:rsidRDefault="00EB5EF0" w:rsidP="00EB5EF0">
            <w:pPr>
              <w:jc w:val="center"/>
            </w:pPr>
            <w:r w:rsidRPr="00EB5EF0">
              <w:rPr>
                <w:noProof/>
              </w:rPr>
              <w:drawing>
                <wp:inline distT="0" distB="0" distL="0" distR="0" wp14:anchorId="2D5CD9F0" wp14:editId="2058FBEE">
                  <wp:extent cx="2092334" cy="2473325"/>
                  <wp:effectExtent l="0" t="0" r="3175" b="3175"/>
                  <wp:docPr id="21413588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58823" name=""/>
                          <pic:cNvPicPr/>
                        </pic:nvPicPr>
                        <pic:blipFill>
                          <a:blip r:embed="rId10"/>
                          <a:stretch>
                            <a:fillRect/>
                          </a:stretch>
                        </pic:blipFill>
                        <pic:spPr>
                          <a:xfrm>
                            <a:off x="0" y="0"/>
                            <a:ext cx="2096817" cy="2478624"/>
                          </a:xfrm>
                          <a:prstGeom prst="rect">
                            <a:avLst/>
                          </a:prstGeom>
                        </pic:spPr>
                      </pic:pic>
                    </a:graphicData>
                  </a:graphic>
                </wp:inline>
              </w:drawing>
            </w:r>
          </w:p>
        </w:tc>
      </w:tr>
    </w:tbl>
    <w:p w14:paraId="2BF0840A" w14:textId="2CC28468" w:rsidR="009E66B9" w:rsidRDefault="009E66B9" w:rsidP="004313A2">
      <w:pPr>
        <w:jc w:val="center"/>
      </w:pPr>
    </w:p>
    <w:p w14:paraId="53D68549" w14:textId="30F348AA" w:rsidR="004313A2" w:rsidRPr="004313A2" w:rsidRDefault="004313A2" w:rsidP="00A47698">
      <w:pPr>
        <w:pStyle w:val="Legenda"/>
        <w:spacing w:after="0"/>
        <w:jc w:val="center"/>
        <w:rPr>
          <w:b/>
          <w:bCs/>
          <w:i w:val="0"/>
          <w:iCs w:val="0"/>
          <w:color w:val="000000" w:themeColor="text1"/>
          <w:sz w:val="22"/>
          <w:szCs w:val="22"/>
        </w:rPr>
      </w:pPr>
      <w:r w:rsidRPr="004313A2">
        <w:rPr>
          <w:b/>
          <w:bCs/>
          <w:i w:val="0"/>
          <w:iCs w:val="0"/>
          <w:color w:val="000000" w:themeColor="text1"/>
          <w:sz w:val="22"/>
          <w:szCs w:val="22"/>
        </w:rPr>
        <w:t xml:space="preserve">Figura </w:t>
      </w:r>
      <w:r w:rsidRPr="004313A2">
        <w:rPr>
          <w:b/>
          <w:bCs/>
          <w:i w:val="0"/>
          <w:iCs w:val="0"/>
          <w:color w:val="000000" w:themeColor="text1"/>
          <w:sz w:val="22"/>
          <w:szCs w:val="22"/>
        </w:rPr>
        <w:fldChar w:fldCharType="begin"/>
      </w:r>
      <w:r w:rsidRPr="004313A2">
        <w:rPr>
          <w:b/>
          <w:bCs/>
          <w:i w:val="0"/>
          <w:iCs w:val="0"/>
          <w:color w:val="000000" w:themeColor="text1"/>
          <w:sz w:val="22"/>
          <w:szCs w:val="22"/>
        </w:rPr>
        <w:instrText xml:space="preserve"> SEQ Figura \* ARABIC </w:instrText>
      </w:r>
      <w:r w:rsidRPr="004313A2">
        <w:rPr>
          <w:b/>
          <w:bCs/>
          <w:i w:val="0"/>
          <w:iCs w:val="0"/>
          <w:color w:val="000000" w:themeColor="text1"/>
          <w:sz w:val="22"/>
          <w:szCs w:val="22"/>
        </w:rPr>
        <w:fldChar w:fldCharType="separate"/>
      </w:r>
      <w:r w:rsidR="00BB30C3">
        <w:rPr>
          <w:b/>
          <w:bCs/>
          <w:i w:val="0"/>
          <w:iCs w:val="0"/>
          <w:noProof/>
          <w:color w:val="000000" w:themeColor="text1"/>
          <w:sz w:val="22"/>
          <w:szCs w:val="22"/>
        </w:rPr>
        <w:t>2</w:t>
      </w:r>
      <w:r w:rsidRPr="004313A2">
        <w:rPr>
          <w:b/>
          <w:bCs/>
          <w:i w:val="0"/>
          <w:iCs w:val="0"/>
          <w:color w:val="000000" w:themeColor="text1"/>
          <w:sz w:val="22"/>
          <w:szCs w:val="22"/>
        </w:rPr>
        <w:fldChar w:fldCharType="end"/>
      </w:r>
      <w:r w:rsidRPr="004313A2">
        <w:rPr>
          <w:b/>
          <w:bCs/>
          <w:i w:val="0"/>
          <w:iCs w:val="0"/>
          <w:color w:val="000000" w:themeColor="text1"/>
          <w:sz w:val="22"/>
          <w:szCs w:val="22"/>
        </w:rPr>
        <w:t xml:space="preserve"> — </w:t>
      </w:r>
      <w:r w:rsidR="00EB5EF0">
        <w:rPr>
          <w:b/>
          <w:bCs/>
          <w:i w:val="0"/>
          <w:iCs w:val="0"/>
          <w:color w:val="000000" w:themeColor="text1"/>
          <w:sz w:val="22"/>
          <w:szCs w:val="22"/>
        </w:rPr>
        <w:t>Aplicação do composto sobre os blocos</w:t>
      </w:r>
    </w:p>
    <w:p w14:paraId="171D230E" w14:textId="77777777" w:rsidR="004313A2" w:rsidRDefault="004313A2" w:rsidP="00A47698">
      <w:pPr>
        <w:spacing w:after="0"/>
      </w:pPr>
    </w:p>
    <w:p w14:paraId="187A3603" w14:textId="21AD0996" w:rsidR="009A466D" w:rsidRDefault="009A466D" w:rsidP="00033AAE">
      <w:r>
        <w:t xml:space="preserve">Os cordões </w:t>
      </w:r>
      <w:r w:rsidR="00163B34">
        <w:t xml:space="preserve">de composto polimérico devem ser aplicados sobre os blocos em uma extensão tal que </w:t>
      </w:r>
      <w:r w:rsidR="006C381C">
        <w:t>o tempo em aberto especificado pelo fabricante</w:t>
      </w:r>
      <w:r w:rsidR="009B29B9">
        <w:t xml:space="preserve"> não seja, de modo algum, atingido</w:t>
      </w:r>
      <w:r w:rsidR="00D35699">
        <w:t>.</w:t>
      </w:r>
    </w:p>
    <w:p w14:paraId="1DB0659C" w14:textId="638EC885" w:rsidR="009E6E50" w:rsidRPr="009E6E50" w:rsidRDefault="009E6E50" w:rsidP="00033AAE">
      <w:pPr>
        <w:rPr>
          <w:sz w:val="18"/>
          <w:szCs w:val="18"/>
        </w:rPr>
      </w:pPr>
      <w:r w:rsidRPr="00337646">
        <w:rPr>
          <w:sz w:val="18"/>
          <w:szCs w:val="18"/>
        </w:rPr>
        <w:t>NOTA</w:t>
      </w:r>
      <w:r w:rsidRPr="00337646">
        <w:rPr>
          <w:sz w:val="18"/>
          <w:szCs w:val="18"/>
        </w:rPr>
        <w:tab/>
      </w:r>
      <w:r w:rsidRPr="00337646">
        <w:rPr>
          <w:sz w:val="18"/>
          <w:szCs w:val="18"/>
        </w:rPr>
        <w:tab/>
      </w:r>
      <w:r>
        <w:rPr>
          <w:sz w:val="18"/>
          <w:szCs w:val="18"/>
        </w:rPr>
        <w:t xml:space="preserve">Segundo a ABNT NBR </w:t>
      </w:r>
      <w:r w:rsidR="005E190A">
        <w:rPr>
          <w:sz w:val="18"/>
          <w:szCs w:val="18"/>
        </w:rPr>
        <w:t xml:space="preserve">16590-1 é obrigatório que </w:t>
      </w:r>
      <w:r w:rsidR="00830D12">
        <w:rPr>
          <w:sz w:val="18"/>
          <w:szCs w:val="18"/>
        </w:rPr>
        <w:t xml:space="preserve">o fabricante </w:t>
      </w:r>
      <w:r w:rsidR="005F2277">
        <w:rPr>
          <w:sz w:val="18"/>
          <w:szCs w:val="18"/>
        </w:rPr>
        <w:t xml:space="preserve">do composto polimérico </w:t>
      </w:r>
      <w:r w:rsidR="00830D12">
        <w:rPr>
          <w:sz w:val="18"/>
          <w:szCs w:val="18"/>
        </w:rPr>
        <w:t>apresente o tempo em aberto do</w:t>
      </w:r>
      <w:r w:rsidR="009446F2">
        <w:rPr>
          <w:sz w:val="18"/>
          <w:szCs w:val="18"/>
        </w:rPr>
        <w:t xml:space="preserve"> produto, incluindo as informações pertinentes quanto à sensibilidade</w:t>
      </w:r>
      <w:r w:rsidR="005F2277">
        <w:rPr>
          <w:sz w:val="18"/>
          <w:szCs w:val="18"/>
        </w:rPr>
        <w:t xml:space="preserve"> frente às variações de temperatura e umidade relativa do ar.</w:t>
      </w:r>
    </w:p>
    <w:p w14:paraId="3A2F596C" w14:textId="0DE8E7F8" w:rsidR="00C91931" w:rsidRPr="00A47698" w:rsidRDefault="00AA23D3" w:rsidP="00CF7B48">
      <w:pPr>
        <w:pStyle w:val="Ttulo3"/>
        <w:rPr>
          <w:i w:val="0"/>
          <w:iCs/>
        </w:rPr>
      </w:pPr>
      <w:r w:rsidRPr="00A47698">
        <w:rPr>
          <w:i w:val="0"/>
          <w:iCs/>
        </w:rPr>
        <w:t>Disposições a serem asseguradas durante a elevação</w:t>
      </w:r>
    </w:p>
    <w:p w14:paraId="452A0067" w14:textId="065574B2" w:rsidR="005329DB" w:rsidRDefault="005329DB" w:rsidP="000D6891">
      <w:pPr>
        <w:pStyle w:val="PargrafodaLista"/>
        <w:numPr>
          <w:ilvl w:val="0"/>
          <w:numId w:val="10"/>
        </w:numPr>
        <w:ind w:left="357" w:hanging="357"/>
      </w:pPr>
      <w:r>
        <w:t>os blocos sejam assentados e alinhados segundo especificado em projeto e de forma a exigir o mínimo possível de ajuste;</w:t>
      </w:r>
    </w:p>
    <w:p w14:paraId="38BB7CE3" w14:textId="39ABDDBE" w:rsidR="004B7CD4" w:rsidRDefault="00ED6447" w:rsidP="00C41039">
      <w:pPr>
        <w:pStyle w:val="PargrafodaLista"/>
        <w:numPr>
          <w:ilvl w:val="0"/>
          <w:numId w:val="4"/>
        </w:numPr>
        <w:ind w:left="714" w:hanging="357"/>
      </w:pPr>
      <w:r>
        <w:t>é permitido o emprego de</w:t>
      </w:r>
      <w:r w:rsidR="00B167F1">
        <w:t xml:space="preserve"> cunhas plásticas</w:t>
      </w:r>
      <w:r w:rsidR="001E2EEB">
        <w:t>, conforme Figura 3,</w:t>
      </w:r>
      <w:r w:rsidR="00A9033D">
        <w:t xml:space="preserve"> para o assentamento das unidades modulares</w:t>
      </w:r>
      <w:r w:rsidR="004E6CF6">
        <w:t>, desde que as dimensões limites estabelecidas nesta seção sejam respeitadas</w:t>
      </w:r>
      <w:r w:rsidR="002B5208">
        <w:t>;</w:t>
      </w:r>
    </w:p>
    <w:p w14:paraId="265E67D0" w14:textId="2208EA26" w:rsidR="004B7CD4" w:rsidRDefault="001F2030" w:rsidP="004B7CD4">
      <w:r w:rsidRPr="001F2030">
        <w:rPr>
          <w:noProof/>
        </w:rPr>
        <w:lastRenderedPageBreak/>
        <w:drawing>
          <wp:inline distT="0" distB="0" distL="0" distR="0" wp14:anchorId="4B0B6748" wp14:editId="23C0CC68">
            <wp:extent cx="5039428" cy="4153480"/>
            <wp:effectExtent l="0" t="0" r="0" b="0"/>
            <wp:docPr id="815526558" name="Imagem 1"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526558" name="Imagem 1" descr="Uma imagem contendo Gráfico&#10;&#10;O conteúdo gerado por IA pode estar incorreto."/>
                    <pic:cNvPicPr/>
                  </pic:nvPicPr>
                  <pic:blipFill>
                    <a:blip r:embed="rId11"/>
                    <a:stretch>
                      <a:fillRect/>
                    </a:stretch>
                  </pic:blipFill>
                  <pic:spPr>
                    <a:xfrm>
                      <a:off x="0" y="0"/>
                      <a:ext cx="5039428" cy="4153480"/>
                    </a:xfrm>
                    <a:prstGeom prst="rect">
                      <a:avLst/>
                    </a:prstGeom>
                  </pic:spPr>
                </pic:pic>
              </a:graphicData>
            </a:graphic>
          </wp:inline>
        </w:drawing>
      </w:r>
    </w:p>
    <w:p w14:paraId="67153F0D" w14:textId="31B372A9" w:rsidR="004313A2" w:rsidRPr="00247630" w:rsidRDefault="004313A2" w:rsidP="00247630">
      <w:pPr>
        <w:pStyle w:val="Legenda"/>
        <w:jc w:val="center"/>
        <w:rPr>
          <w:b/>
          <w:bCs/>
          <w:i w:val="0"/>
          <w:iCs w:val="0"/>
          <w:color w:val="000000" w:themeColor="text1"/>
          <w:sz w:val="22"/>
          <w:szCs w:val="22"/>
        </w:rPr>
      </w:pPr>
      <w:r w:rsidRPr="004313A2">
        <w:rPr>
          <w:b/>
          <w:bCs/>
          <w:i w:val="0"/>
          <w:iCs w:val="0"/>
          <w:color w:val="000000" w:themeColor="text1"/>
          <w:sz w:val="22"/>
          <w:szCs w:val="22"/>
        </w:rPr>
        <w:t xml:space="preserve">Figura </w:t>
      </w:r>
      <w:r w:rsidRPr="004313A2">
        <w:rPr>
          <w:b/>
          <w:bCs/>
          <w:i w:val="0"/>
          <w:iCs w:val="0"/>
          <w:color w:val="000000" w:themeColor="text1"/>
          <w:sz w:val="22"/>
          <w:szCs w:val="22"/>
        </w:rPr>
        <w:fldChar w:fldCharType="begin"/>
      </w:r>
      <w:r w:rsidRPr="004313A2">
        <w:rPr>
          <w:b/>
          <w:bCs/>
          <w:i w:val="0"/>
          <w:iCs w:val="0"/>
          <w:color w:val="000000" w:themeColor="text1"/>
          <w:sz w:val="22"/>
          <w:szCs w:val="22"/>
        </w:rPr>
        <w:instrText xml:space="preserve"> SEQ Figura \* ARABIC </w:instrText>
      </w:r>
      <w:r w:rsidRPr="004313A2">
        <w:rPr>
          <w:b/>
          <w:bCs/>
          <w:i w:val="0"/>
          <w:iCs w:val="0"/>
          <w:color w:val="000000" w:themeColor="text1"/>
          <w:sz w:val="22"/>
          <w:szCs w:val="22"/>
        </w:rPr>
        <w:fldChar w:fldCharType="separate"/>
      </w:r>
      <w:r w:rsidR="00BB30C3">
        <w:rPr>
          <w:b/>
          <w:bCs/>
          <w:i w:val="0"/>
          <w:iCs w:val="0"/>
          <w:noProof/>
          <w:color w:val="000000" w:themeColor="text1"/>
          <w:sz w:val="22"/>
          <w:szCs w:val="22"/>
        </w:rPr>
        <w:t>3</w:t>
      </w:r>
      <w:r w:rsidRPr="004313A2">
        <w:rPr>
          <w:b/>
          <w:bCs/>
          <w:i w:val="0"/>
          <w:iCs w:val="0"/>
          <w:color w:val="000000" w:themeColor="text1"/>
          <w:sz w:val="22"/>
          <w:szCs w:val="22"/>
        </w:rPr>
        <w:fldChar w:fldCharType="end"/>
      </w:r>
      <w:r w:rsidRPr="004313A2">
        <w:rPr>
          <w:b/>
          <w:bCs/>
          <w:i w:val="0"/>
          <w:iCs w:val="0"/>
          <w:color w:val="000000" w:themeColor="text1"/>
          <w:sz w:val="22"/>
          <w:szCs w:val="22"/>
        </w:rPr>
        <w:t xml:space="preserve"> — Assentamento com uso de cunha</w:t>
      </w:r>
    </w:p>
    <w:p w14:paraId="72597F24" w14:textId="3321FD2F" w:rsidR="00E75552" w:rsidRDefault="00E75552" w:rsidP="007000D1">
      <w:pPr>
        <w:pStyle w:val="PargrafodaLista"/>
        <w:numPr>
          <w:ilvl w:val="0"/>
          <w:numId w:val="10"/>
        </w:numPr>
        <w:spacing w:after="120"/>
        <w:ind w:left="357" w:hanging="357"/>
      </w:pPr>
      <w:r>
        <w:t xml:space="preserve">os blocos </w:t>
      </w:r>
      <w:r w:rsidR="00C92582">
        <w:t>estejam completamente secos</w:t>
      </w:r>
      <w:r w:rsidR="005F4419">
        <w:t xml:space="preserve"> e limpos, sem quaisquer materiais particulados ou em filme</w:t>
      </w:r>
      <w:r w:rsidR="00227C18">
        <w:t xml:space="preserve"> que possam prejudicar a aderência</w:t>
      </w:r>
      <w:r w:rsidR="00945177">
        <w:t xml:space="preserve"> na interface unidade modular </w:t>
      </w:r>
      <w:proofErr w:type="spellStart"/>
      <w:r w:rsidR="001260EC">
        <w:rPr>
          <w:i/>
          <w:iCs/>
        </w:rPr>
        <w:t>vs</w:t>
      </w:r>
      <w:proofErr w:type="spellEnd"/>
      <w:r w:rsidR="001260EC">
        <w:t xml:space="preserve"> </w:t>
      </w:r>
      <w:r w:rsidR="00945177">
        <w:t>composto polimérico;</w:t>
      </w:r>
    </w:p>
    <w:p w14:paraId="6E6F84FB" w14:textId="65E8599C" w:rsidR="00E75552" w:rsidRDefault="00E75552" w:rsidP="007000D1">
      <w:pPr>
        <w:pStyle w:val="PargrafodaLista"/>
        <w:numPr>
          <w:ilvl w:val="0"/>
          <w:numId w:val="10"/>
        </w:numPr>
        <w:spacing w:after="120"/>
        <w:ind w:left="357" w:hanging="357"/>
      </w:pPr>
      <w:r>
        <w:t>os blocos depois de assentados não sejam movidos da sua posição</w:t>
      </w:r>
      <w:r w:rsidR="009F5843">
        <w:t>;</w:t>
      </w:r>
    </w:p>
    <w:p w14:paraId="420B8CF3" w14:textId="23B6C32C" w:rsidR="009F5843" w:rsidRDefault="009F5843" w:rsidP="007000D1">
      <w:pPr>
        <w:pStyle w:val="PargrafodaLista"/>
        <w:numPr>
          <w:ilvl w:val="0"/>
          <w:numId w:val="10"/>
        </w:numPr>
        <w:spacing w:after="120"/>
        <w:ind w:left="357" w:hanging="357"/>
      </w:pPr>
      <w:r>
        <w:t>em caso</w:t>
      </w:r>
      <w:r w:rsidR="000C0E6D">
        <w:t xml:space="preserve"> de necessidade de </w:t>
      </w:r>
      <w:r w:rsidR="00434D05">
        <w:t xml:space="preserve">reposicionamento de alguma unidade modular, </w:t>
      </w:r>
      <w:r w:rsidR="00143A33">
        <w:t xml:space="preserve">o composto polimérico disposto </w:t>
      </w:r>
      <w:r w:rsidR="00287D02">
        <w:t>in</w:t>
      </w:r>
      <w:r w:rsidR="00DD39AB">
        <w:t>i</w:t>
      </w:r>
      <w:r w:rsidR="00287D02">
        <w:t>cialmente</w:t>
      </w:r>
      <w:r w:rsidR="00143A33">
        <w:t xml:space="preserve"> seja removido e </w:t>
      </w:r>
      <w:r w:rsidR="00287D02">
        <w:t>novos cordões sejam aplicados;</w:t>
      </w:r>
    </w:p>
    <w:p w14:paraId="5B5A74E1" w14:textId="4A510347" w:rsidR="00E75552" w:rsidRDefault="00E75552" w:rsidP="007000D1">
      <w:pPr>
        <w:pStyle w:val="PargrafodaLista"/>
        <w:numPr>
          <w:ilvl w:val="0"/>
          <w:numId w:val="10"/>
        </w:numPr>
        <w:spacing w:after="120"/>
        <w:ind w:left="357" w:hanging="357"/>
      </w:pPr>
      <w:r>
        <w:t>as paredes de alvenaria</w:t>
      </w:r>
      <w:r w:rsidR="000E2D6A">
        <w:t>,</w:t>
      </w:r>
      <w:r>
        <w:t xml:space="preserve"> sejam executadas apenas com blocos inteiros e seus complementos. Para serem utilizadas peças cortadas, pré-fabricadas ou pré-moldadas, estas devem estar previstas no projeto de produção e obtidas mediante condições controladas</w:t>
      </w:r>
      <w:r w:rsidR="00BF7E0A">
        <w:t>;</w:t>
      </w:r>
    </w:p>
    <w:p w14:paraId="4640368C" w14:textId="275ACA4E" w:rsidR="006A7A9A" w:rsidRDefault="006A7A9A" w:rsidP="007000D1">
      <w:pPr>
        <w:pStyle w:val="PargrafodaLista"/>
        <w:numPr>
          <w:ilvl w:val="0"/>
          <w:numId w:val="10"/>
        </w:numPr>
        <w:spacing w:after="120"/>
        <w:ind w:left="357" w:hanging="357"/>
      </w:pPr>
      <w:r>
        <w:t>para alvenarias</w:t>
      </w:r>
      <w:r w:rsidR="008B525F">
        <w:t xml:space="preserve"> recém-elevadas e não travadas deve-se realizar o escoramento</w:t>
      </w:r>
      <w:r w:rsidR="00643942">
        <w:t xml:space="preserve"> lateral;</w:t>
      </w:r>
    </w:p>
    <w:p w14:paraId="4D9D3664" w14:textId="54CC72EE" w:rsidR="00BF7E0A" w:rsidRDefault="00C95225" w:rsidP="007000D1">
      <w:pPr>
        <w:pStyle w:val="PargrafodaLista"/>
        <w:numPr>
          <w:ilvl w:val="0"/>
          <w:numId w:val="10"/>
        </w:numPr>
        <w:spacing w:after="240"/>
        <w:ind w:left="357" w:hanging="357"/>
      </w:pPr>
      <w:r>
        <w:t>em caso d</w:t>
      </w:r>
      <w:r w:rsidR="004F043F">
        <w:t xml:space="preserve">e ocorrência de ventos acima de </w:t>
      </w:r>
      <w:r w:rsidR="00422F59">
        <w:t>20</w:t>
      </w:r>
      <w:r w:rsidR="004F043F">
        <w:t xml:space="preserve"> km/h</w:t>
      </w:r>
      <w:r w:rsidR="00E43A35">
        <w:t>,</w:t>
      </w:r>
      <w:r w:rsidR="004F043F">
        <w:t xml:space="preserve"> não sejam elevadas paredes</w:t>
      </w:r>
      <w:r w:rsidR="00E4555E">
        <w:t xml:space="preserve"> com mais de 1,50 m de altura em um mesmo dia.</w:t>
      </w:r>
    </w:p>
    <w:p w14:paraId="54F9C835" w14:textId="1B679827" w:rsidR="00563A6F" w:rsidRPr="007F36B1" w:rsidRDefault="00563A6F" w:rsidP="00563A6F">
      <w:pPr>
        <w:rPr>
          <w:sz w:val="18"/>
          <w:szCs w:val="18"/>
        </w:rPr>
      </w:pPr>
      <w:r w:rsidRPr="007F36B1">
        <w:rPr>
          <w:sz w:val="18"/>
          <w:szCs w:val="18"/>
        </w:rPr>
        <w:t>NOTA</w:t>
      </w:r>
      <w:r w:rsidRPr="007F36B1">
        <w:rPr>
          <w:sz w:val="18"/>
          <w:szCs w:val="18"/>
        </w:rPr>
        <w:tab/>
      </w:r>
      <w:r w:rsidRPr="007F36B1">
        <w:rPr>
          <w:sz w:val="18"/>
          <w:szCs w:val="18"/>
        </w:rPr>
        <w:tab/>
      </w:r>
      <w:r w:rsidR="00A07685" w:rsidRPr="007F36B1">
        <w:rPr>
          <w:sz w:val="18"/>
          <w:szCs w:val="18"/>
        </w:rPr>
        <w:t>Segundo a Escala de Beaufort,</w:t>
      </w:r>
      <w:r w:rsidR="00151721" w:rsidRPr="007F36B1">
        <w:rPr>
          <w:sz w:val="18"/>
          <w:szCs w:val="18"/>
        </w:rPr>
        <w:t xml:space="preserve"> </w:t>
      </w:r>
      <w:r w:rsidR="006F3267" w:rsidRPr="007F36B1">
        <w:rPr>
          <w:sz w:val="18"/>
          <w:szCs w:val="18"/>
        </w:rPr>
        <w:t>cujas categorias de velocidades de ventos</w:t>
      </w:r>
      <w:r w:rsidR="00151721" w:rsidRPr="007F36B1">
        <w:rPr>
          <w:sz w:val="18"/>
          <w:szCs w:val="18"/>
        </w:rPr>
        <w:t xml:space="preserve"> varia</w:t>
      </w:r>
      <w:r w:rsidR="00E61FF9" w:rsidRPr="007F36B1">
        <w:rPr>
          <w:sz w:val="18"/>
          <w:szCs w:val="18"/>
        </w:rPr>
        <w:t>m</w:t>
      </w:r>
      <w:r w:rsidR="00151721" w:rsidRPr="007F36B1">
        <w:rPr>
          <w:sz w:val="18"/>
          <w:szCs w:val="18"/>
        </w:rPr>
        <w:t xml:space="preserve"> de</w:t>
      </w:r>
      <w:r w:rsidR="002E464F">
        <w:rPr>
          <w:sz w:val="18"/>
          <w:szCs w:val="18"/>
        </w:rPr>
        <w:br/>
      </w:r>
      <w:r w:rsidR="00151721" w:rsidRPr="007F36B1">
        <w:rPr>
          <w:sz w:val="18"/>
          <w:szCs w:val="18"/>
        </w:rPr>
        <w:t>0 a 12</w:t>
      </w:r>
      <w:r w:rsidR="00E61FF9" w:rsidRPr="007F36B1">
        <w:rPr>
          <w:sz w:val="18"/>
          <w:szCs w:val="18"/>
        </w:rPr>
        <w:t>,</w:t>
      </w:r>
      <w:r w:rsidR="00A07685" w:rsidRPr="007F36B1">
        <w:rPr>
          <w:sz w:val="18"/>
          <w:szCs w:val="18"/>
        </w:rPr>
        <w:t xml:space="preserve"> ventos acima de 20 km/h </w:t>
      </w:r>
      <w:r w:rsidR="00B44E45" w:rsidRPr="007F36B1">
        <w:rPr>
          <w:sz w:val="18"/>
          <w:szCs w:val="18"/>
        </w:rPr>
        <w:t>são</w:t>
      </w:r>
      <w:r w:rsidR="00151721" w:rsidRPr="007F36B1">
        <w:rPr>
          <w:sz w:val="18"/>
          <w:szCs w:val="18"/>
        </w:rPr>
        <w:t xml:space="preserve"> de classes maiores do que 4,</w:t>
      </w:r>
      <w:r w:rsidR="00E61FF9" w:rsidRPr="007F36B1">
        <w:rPr>
          <w:sz w:val="18"/>
          <w:szCs w:val="18"/>
        </w:rPr>
        <w:t xml:space="preserve"> na qual</w:t>
      </w:r>
      <w:r w:rsidR="008B45EA" w:rsidRPr="007F36B1">
        <w:rPr>
          <w:sz w:val="18"/>
          <w:szCs w:val="18"/>
        </w:rPr>
        <w:t xml:space="preserve"> nota-se a movimentação de papéis e poeira</w:t>
      </w:r>
      <w:r w:rsidR="007F36B1" w:rsidRPr="007F36B1">
        <w:rPr>
          <w:sz w:val="18"/>
          <w:szCs w:val="18"/>
        </w:rPr>
        <w:t>.</w:t>
      </w:r>
    </w:p>
    <w:p w14:paraId="6FF5F005" w14:textId="577FCE21" w:rsidR="009823F4" w:rsidRPr="007000D1" w:rsidRDefault="009823F4" w:rsidP="00CF7B48">
      <w:pPr>
        <w:pStyle w:val="Ttulo3"/>
        <w:rPr>
          <w:i w:val="0"/>
          <w:iCs/>
        </w:rPr>
      </w:pPr>
      <w:bookmarkStart w:id="52" w:name="_Ref186297398"/>
      <w:r w:rsidRPr="007000D1">
        <w:rPr>
          <w:i w:val="0"/>
          <w:iCs/>
        </w:rPr>
        <w:lastRenderedPageBreak/>
        <w:t>Disposição para assentamento da fiada de respaldo</w:t>
      </w:r>
      <w:bookmarkEnd w:id="52"/>
    </w:p>
    <w:p w14:paraId="66C615DD" w14:textId="407D46B8" w:rsidR="008D6479" w:rsidRPr="007000D1" w:rsidRDefault="00252EAF" w:rsidP="00950F9A">
      <w:r>
        <w:t>A</w:t>
      </w:r>
      <w:r w:rsidR="00086368" w:rsidRPr="000558C7">
        <w:t xml:space="preserve"> fiada de respaldo</w:t>
      </w:r>
      <w:r>
        <w:t xml:space="preserve"> de cada parede </w:t>
      </w:r>
      <w:r w:rsidR="007C4BDB">
        <w:t>deve ser constituída de can</w:t>
      </w:r>
      <w:r w:rsidR="002E5C06">
        <w:t>a</w:t>
      </w:r>
      <w:r w:rsidR="007C4BDB">
        <w:t>leta grauteada e armada. As canaletas podem ser</w:t>
      </w:r>
      <w:r w:rsidR="000558C7" w:rsidRPr="000558C7">
        <w:t xml:space="preserve"> a</w:t>
      </w:r>
      <w:r w:rsidR="003E7796" w:rsidRPr="000558C7">
        <w:t>ssentad</w:t>
      </w:r>
      <w:r w:rsidR="007C4BDB">
        <w:t>a</w:t>
      </w:r>
      <w:r>
        <w:t>s</w:t>
      </w:r>
      <w:r w:rsidR="003E7796" w:rsidRPr="000558C7">
        <w:t xml:space="preserve"> </w:t>
      </w:r>
      <w:r w:rsidR="001B22C2" w:rsidRPr="000558C7">
        <w:t xml:space="preserve">com o composto polimérico, </w:t>
      </w:r>
      <w:r w:rsidR="006C10B9" w:rsidRPr="000558C7">
        <w:t xml:space="preserve">atendendo aos mesmos procedimentos </w:t>
      </w:r>
      <w:r w:rsidR="00CF15C8" w:rsidRPr="000558C7">
        <w:t xml:space="preserve">de elevação das paredes de alvenaria estrutural </w:t>
      </w:r>
      <w:r w:rsidR="006C10B9" w:rsidRPr="000558C7">
        <w:t xml:space="preserve">previstos nesta </w:t>
      </w:r>
      <w:r w:rsidR="006C10B9" w:rsidRPr="007000D1">
        <w:t>seção</w:t>
      </w:r>
      <w:r w:rsidR="007C4BDB" w:rsidRPr="007000D1">
        <w:t xml:space="preserve">, </w:t>
      </w:r>
      <w:r w:rsidR="00C7305D" w:rsidRPr="007000D1">
        <w:t>desde que o nivelamento do topo da parede seja garantido</w:t>
      </w:r>
      <w:r w:rsidR="000023D7" w:rsidRPr="007000D1">
        <w:t>.</w:t>
      </w:r>
      <w:r w:rsidR="00C7305D" w:rsidRPr="007000D1">
        <w:t xml:space="preserve"> </w:t>
      </w:r>
    </w:p>
    <w:p w14:paraId="2B2D60A2" w14:textId="04176D70" w:rsidR="00D1471F" w:rsidRPr="007000D1" w:rsidRDefault="00D451DC" w:rsidP="00950F9A">
      <w:r w:rsidRPr="007000D1">
        <w:t>Alternativamente,</w:t>
      </w:r>
      <w:r w:rsidR="008D6479" w:rsidRPr="007000D1">
        <w:t xml:space="preserve"> </w:t>
      </w:r>
      <w:r w:rsidR="00A36E6B" w:rsidRPr="007000D1">
        <w:t xml:space="preserve">para </w:t>
      </w:r>
      <w:r w:rsidR="002049A1" w:rsidRPr="007000D1">
        <w:t>estabelecer-se</w:t>
      </w:r>
      <w:r w:rsidR="00323C6B" w:rsidRPr="007000D1">
        <w:t xml:space="preserve"> </w:t>
      </w:r>
      <w:r w:rsidR="000034F9" w:rsidRPr="007000D1">
        <w:t>o pé-direito</w:t>
      </w:r>
      <w:r w:rsidR="00323C6B" w:rsidRPr="007000D1">
        <w:t xml:space="preserve"> conforme</w:t>
      </w:r>
      <w:r w:rsidR="000034F9" w:rsidRPr="007000D1">
        <w:t xml:space="preserve"> </w:t>
      </w:r>
      <w:r w:rsidR="00B9328B" w:rsidRPr="007000D1">
        <w:t>definido em projeto</w:t>
      </w:r>
      <w:r w:rsidR="00323C6B" w:rsidRPr="007000D1">
        <w:t xml:space="preserve"> e em atendimento às</w:t>
      </w:r>
      <w:r w:rsidR="005B19E7" w:rsidRPr="007000D1">
        <w:t xml:space="preserve"> tolerâncias geométricas</w:t>
      </w:r>
      <w:r w:rsidR="00A73FA8" w:rsidRPr="007000D1">
        <w:t xml:space="preserve"> prescritas em </w:t>
      </w:r>
      <w:r w:rsidR="00A73FA8" w:rsidRPr="007000D1">
        <w:fldChar w:fldCharType="begin"/>
      </w:r>
      <w:r w:rsidR="00A73FA8" w:rsidRPr="007000D1">
        <w:instrText xml:space="preserve"> REF _Ref186224007 \w \h </w:instrText>
      </w:r>
      <w:r w:rsidR="002E464F" w:rsidRPr="007000D1">
        <w:instrText xml:space="preserve"> \* MERGEFORMAT </w:instrText>
      </w:r>
      <w:r w:rsidR="00A73FA8" w:rsidRPr="007000D1">
        <w:fldChar w:fldCharType="separate"/>
      </w:r>
      <w:r w:rsidR="00BB30C3" w:rsidRPr="007000D1">
        <w:t>9.</w:t>
      </w:r>
      <w:r w:rsidR="00A73FA8" w:rsidRPr="007000D1">
        <w:fldChar w:fldCharType="end"/>
      </w:r>
      <w:r w:rsidR="006B3AF0" w:rsidRPr="007000D1">
        <w:t>3.1</w:t>
      </w:r>
      <w:r w:rsidR="00211CBB" w:rsidRPr="007000D1">
        <w:t>,</w:t>
      </w:r>
      <w:r w:rsidR="00323C6B" w:rsidRPr="007000D1">
        <w:t xml:space="preserve"> </w:t>
      </w:r>
      <w:r w:rsidRPr="007000D1">
        <w:t>é permitido o assentamento da fiada de respaldo com</w:t>
      </w:r>
      <w:r w:rsidR="00CD3268" w:rsidRPr="007000D1">
        <w:t xml:space="preserve"> a mesma argamassa cimentícia </w:t>
      </w:r>
      <w:r w:rsidR="00E9338A" w:rsidRPr="007000D1">
        <w:t>especificada para a execução da primeira fiada</w:t>
      </w:r>
      <w:r w:rsidR="008805A2" w:rsidRPr="007000D1">
        <w:t xml:space="preserve">, </w:t>
      </w:r>
      <w:r w:rsidR="00211CBB" w:rsidRPr="007000D1">
        <w:t xml:space="preserve">desde que atendidas as </w:t>
      </w:r>
      <w:r w:rsidR="00F349C7" w:rsidRPr="007000D1">
        <w:t>disposições em</w:t>
      </w:r>
      <w:r w:rsidR="008805A2" w:rsidRPr="007000D1">
        <w:t xml:space="preserve"> </w:t>
      </w:r>
      <w:r w:rsidR="008805A2" w:rsidRPr="007000D1">
        <w:fldChar w:fldCharType="begin"/>
      </w:r>
      <w:r w:rsidR="008805A2" w:rsidRPr="007000D1">
        <w:instrText xml:space="preserve"> REF _Ref186237541 \w \h </w:instrText>
      </w:r>
      <w:r w:rsidR="002E464F" w:rsidRPr="007000D1">
        <w:instrText xml:space="preserve"> \* MERGEFORMAT </w:instrText>
      </w:r>
      <w:r w:rsidR="008805A2" w:rsidRPr="007000D1">
        <w:fldChar w:fldCharType="separate"/>
      </w:r>
      <w:r w:rsidR="00BB30C3" w:rsidRPr="007000D1">
        <w:t>9.</w:t>
      </w:r>
      <w:r w:rsidR="00876B06" w:rsidRPr="007000D1">
        <w:t>3.3</w:t>
      </w:r>
      <w:r w:rsidR="008805A2" w:rsidRPr="007000D1">
        <w:fldChar w:fldCharType="end"/>
      </w:r>
      <w:r w:rsidR="008805A2" w:rsidRPr="007000D1">
        <w:t>.</w:t>
      </w:r>
      <w:r w:rsidR="00F349C7" w:rsidRPr="007000D1">
        <w:t xml:space="preserve"> </w:t>
      </w:r>
      <w:r w:rsidR="007D5DF1" w:rsidRPr="007000D1">
        <w:t xml:space="preserve">Neste caso, </w:t>
      </w:r>
      <w:r w:rsidR="00142439" w:rsidRPr="007000D1">
        <w:t>a espessura da junta horizontal deve ser de</w:t>
      </w:r>
      <w:r w:rsidR="008017B9" w:rsidRPr="007000D1">
        <w:t xml:space="preserve"> 10 ± 3 mm</w:t>
      </w:r>
      <w:r w:rsidR="0066027C" w:rsidRPr="007000D1">
        <w:t xml:space="preserve"> e das juntas verticais </w:t>
      </w:r>
      <w:r w:rsidR="00734B9F" w:rsidRPr="007000D1">
        <w:t xml:space="preserve">entre </w:t>
      </w:r>
      <w:r w:rsidR="00772A2F" w:rsidRPr="007000D1">
        <w:t>1,0</w:t>
      </w:r>
      <w:r w:rsidR="00734B9F" w:rsidRPr="007000D1">
        <w:t xml:space="preserve"> mm e 3,0 mm</w:t>
      </w:r>
      <w:r w:rsidR="005A5153" w:rsidRPr="007000D1">
        <w:t>, obrigatoriamente.</w:t>
      </w:r>
    </w:p>
    <w:p w14:paraId="68ECCABA" w14:textId="6C2D5026" w:rsidR="009E2600" w:rsidRDefault="0036059B" w:rsidP="002E464F">
      <w:pPr>
        <w:spacing w:after="0"/>
      </w:pPr>
      <w:r w:rsidRPr="007000D1">
        <w:t xml:space="preserve">A última fiada pode, </w:t>
      </w:r>
      <w:r w:rsidR="00AB144B" w:rsidRPr="007000D1">
        <w:t>além disso</w:t>
      </w:r>
      <w:r w:rsidRPr="007000D1">
        <w:t xml:space="preserve">, ser substituída por uma cinta de amarração </w:t>
      </w:r>
      <w:r w:rsidR="00825E18" w:rsidRPr="007000D1">
        <w:t xml:space="preserve">moldada </w:t>
      </w:r>
      <w:r w:rsidR="000B1E02" w:rsidRPr="007000D1">
        <w:t>no local</w:t>
      </w:r>
      <w:r w:rsidR="00A22960" w:rsidRPr="007000D1">
        <w:t xml:space="preserve"> a partir</w:t>
      </w:r>
      <w:r w:rsidR="00B83A34" w:rsidRPr="007000D1">
        <w:t xml:space="preserve"> da montagem de formas</w:t>
      </w:r>
      <w:r w:rsidR="007611D0" w:rsidRPr="007000D1">
        <w:t>, armadura</w:t>
      </w:r>
      <w:r w:rsidR="006C7AC2" w:rsidRPr="007000D1">
        <w:t xml:space="preserve"> e posterior grauteamento</w:t>
      </w:r>
      <w:r w:rsidR="00E34D67" w:rsidRPr="007000D1">
        <w:t>, conforme indicado</w:t>
      </w:r>
      <w:r w:rsidR="005B2699" w:rsidRPr="007000D1">
        <w:t xml:space="preserve"> também</w:t>
      </w:r>
      <w:r w:rsidR="00E34D67" w:rsidRPr="007000D1">
        <w:t xml:space="preserve"> em </w:t>
      </w:r>
      <w:r w:rsidR="00AB144B" w:rsidRPr="007000D1">
        <w:fldChar w:fldCharType="begin"/>
      </w:r>
      <w:r w:rsidR="00AB144B" w:rsidRPr="007000D1">
        <w:instrText xml:space="preserve"> REF _Ref186293043 \w \h </w:instrText>
      </w:r>
      <w:r w:rsidR="002E464F" w:rsidRPr="007000D1">
        <w:instrText xml:space="preserve"> \* MERGEFORMAT </w:instrText>
      </w:r>
      <w:r w:rsidR="00AB144B" w:rsidRPr="007000D1">
        <w:fldChar w:fldCharType="separate"/>
      </w:r>
      <w:r w:rsidR="00BB30C3" w:rsidRPr="007000D1">
        <w:t>9.</w:t>
      </w:r>
      <w:r w:rsidR="007A7C7E" w:rsidRPr="007000D1">
        <w:t>3.3</w:t>
      </w:r>
      <w:r w:rsidR="00AB144B" w:rsidRPr="007000D1">
        <w:fldChar w:fldCharType="end"/>
      </w:r>
      <w:r w:rsidR="005B2699" w:rsidRPr="007000D1">
        <w:t xml:space="preserve">; desde que prevista, detalhada e especificada </w:t>
      </w:r>
      <w:r w:rsidR="00F00B94" w:rsidRPr="007000D1">
        <w:t>no projeto.</w:t>
      </w:r>
    </w:p>
    <w:p w14:paraId="43C9ADF5" w14:textId="77777777" w:rsidR="002E464F" w:rsidRDefault="002E464F" w:rsidP="002E464F">
      <w:pPr>
        <w:spacing w:after="0"/>
      </w:pPr>
    </w:p>
    <w:p w14:paraId="0BC6A4EA" w14:textId="08F9BDE0" w:rsidR="00AA23D3" w:rsidRPr="007000D1" w:rsidRDefault="00AA23D3" w:rsidP="00CF7B48">
      <w:pPr>
        <w:pStyle w:val="Ttulo3"/>
        <w:rPr>
          <w:i w:val="0"/>
          <w:iCs/>
        </w:rPr>
      </w:pPr>
      <w:r w:rsidRPr="007000D1">
        <w:rPr>
          <w:i w:val="0"/>
          <w:iCs/>
        </w:rPr>
        <w:t>Disposições a serem asseguradas após a elevação</w:t>
      </w:r>
    </w:p>
    <w:p w14:paraId="54653B94" w14:textId="41C33B34" w:rsidR="00DD00C0" w:rsidRDefault="00807645" w:rsidP="00CA53F8">
      <w:r>
        <w:t>A</w:t>
      </w:r>
      <w:r w:rsidR="004D710D">
        <w:t>pós a elevação</w:t>
      </w:r>
      <w:r w:rsidR="00C62242">
        <w:t xml:space="preserve"> parcial ou completa</w:t>
      </w:r>
      <w:r w:rsidR="004D710D">
        <w:t xml:space="preserve"> da</w:t>
      </w:r>
      <w:r w:rsidR="00C62242">
        <w:t xml:space="preserve"> parede d</w:t>
      </w:r>
      <w:r w:rsidR="00297D37">
        <w:t>eve-se</w:t>
      </w:r>
      <w:r w:rsidR="00EE6549">
        <w:t xml:space="preserve"> garantir que</w:t>
      </w:r>
      <w:r w:rsidR="00381AEA">
        <w:t xml:space="preserve"> </w:t>
      </w:r>
      <w:r w:rsidR="004D710D">
        <w:t>as seguintes condições sejam respeitadas:</w:t>
      </w:r>
    </w:p>
    <w:p w14:paraId="4BE09C1B" w14:textId="6405960A" w:rsidR="00381AEA" w:rsidRDefault="00AE7856" w:rsidP="000D6891">
      <w:pPr>
        <w:pStyle w:val="PargrafodaLista"/>
        <w:numPr>
          <w:ilvl w:val="0"/>
          <w:numId w:val="11"/>
        </w:numPr>
        <w:ind w:left="357" w:hanging="357"/>
      </w:pPr>
      <w:r>
        <w:t xml:space="preserve">impedir que </w:t>
      </w:r>
      <w:r w:rsidR="006E4D21">
        <w:t>ocorra qualquer aplicação de carregamento</w:t>
      </w:r>
      <w:r w:rsidR="004506B6">
        <w:t xml:space="preserve"> no sistema</w:t>
      </w:r>
      <w:r w:rsidR="006E4D21">
        <w:t xml:space="preserve"> por quaisquer motivos</w:t>
      </w:r>
      <w:r w:rsidR="00E833F2">
        <w:t>, por menos intensos que sejam, durante um período mínimo de 24 horas</w:t>
      </w:r>
      <w:r w:rsidR="004506B6">
        <w:t>;</w:t>
      </w:r>
    </w:p>
    <w:p w14:paraId="1BB3E595" w14:textId="585A769F" w:rsidR="004506B6" w:rsidRDefault="00920F07" w:rsidP="000D6891">
      <w:pPr>
        <w:pStyle w:val="PargrafodaLista"/>
        <w:numPr>
          <w:ilvl w:val="0"/>
          <w:numId w:val="11"/>
        </w:numPr>
        <w:ind w:left="357" w:hanging="357"/>
      </w:pPr>
      <w:r>
        <w:t>pelas mesmas 24 horas,</w:t>
      </w:r>
      <w:r w:rsidR="00B6543D">
        <w:t xml:space="preserve"> assegurar que não ocorram quaisquer intervenções, construtivas ou não, sobre a parede constituída;</w:t>
      </w:r>
    </w:p>
    <w:p w14:paraId="1F9932F5" w14:textId="54C3EFD1" w:rsidR="00B6543D" w:rsidRDefault="00D742C1" w:rsidP="000D6891">
      <w:pPr>
        <w:pStyle w:val="PargrafodaLista"/>
        <w:numPr>
          <w:ilvl w:val="0"/>
          <w:numId w:val="11"/>
        </w:numPr>
        <w:ind w:left="357" w:hanging="357"/>
      </w:pPr>
      <w:r>
        <w:t xml:space="preserve">impossibilitar a </w:t>
      </w:r>
      <w:r w:rsidR="0072739A">
        <w:t>exposição</w:t>
      </w:r>
      <w:r w:rsidR="00CA6470">
        <w:t xml:space="preserve"> do sistema à água e umidade além do existente naturalmente no ambiente</w:t>
      </w:r>
      <w:r w:rsidR="00FF50ED">
        <w:t xml:space="preserve"> (umidade relativa do ar) por ao menos 72 horas;</w:t>
      </w:r>
    </w:p>
    <w:p w14:paraId="626C3A41" w14:textId="635E3F26" w:rsidR="00FF50ED" w:rsidRDefault="00FF50ED" w:rsidP="000D6891">
      <w:pPr>
        <w:pStyle w:val="PargrafodaLista"/>
        <w:numPr>
          <w:ilvl w:val="0"/>
          <w:numId w:val="11"/>
        </w:numPr>
        <w:ind w:left="357" w:hanging="357"/>
      </w:pPr>
      <w:r>
        <w:t>em caso de previsão de chuvas para</w:t>
      </w:r>
      <w:r w:rsidR="009260F6">
        <w:t xml:space="preserve"> o período de </w:t>
      </w:r>
      <w:r w:rsidR="0062020B">
        <w:t xml:space="preserve">24 </w:t>
      </w:r>
      <w:r w:rsidR="009260F6">
        <w:t>horas após a finalização do assentamento dos blocos</w:t>
      </w:r>
      <w:r w:rsidR="006B56CC">
        <w:t>, a região onde o sistema está executado</w:t>
      </w:r>
      <w:r w:rsidR="00D43079">
        <w:t xml:space="preserve"> deve ser protegida de modo a impedir </w:t>
      </w:r>
      <w:r w:rsidR="00A45554">
        <w:t>sua</w:t>
      </w:r>
      <w:r w:rsidR="00D43079">
        <w:t xml:space="preserve"> </w:t>
      </w:r>
      <w:r w:rsidR="00A45554">
        <w:t>exposição</w:t>
      </w:r>
      <w:r w:rsidR="006B56CC">
        <w:t xml:space="preserve"> </w:t>
      </w:r>
      <w:r w:rsidR="00B6371E">
        <w:t xml:space="preserve">direta </w:t>
      </w:r>
      <w:r w:rsidR="00A45554">
        <w:t>à água</w:t>
      </w:r>
      <w:r w:rsidR="00B6371E">
        <w:t>;</w:t>
      </w:r>
    </w:p>
    <w:p w14:paraId="58EFBEC2" w14:textId="4E930441" w:rsidR="00917F4D" w:rsidRPr="00FA41B8" w:rsidRDefault="002E38A8" w:rsidP="000D6891">
      <w:pPr>
        <w:pStyle w:val="PargrafodaLista"/>
        <w:numPr>
          <w:ilvl w:val="0"/>
          <w:numId w:val="11"/>
        </w:numPr>
        <w:ind w:left="357" w:hanging="357"/>
      </w:pPr>
      <w:r w:rsidRPr="00FA41B8">
        <w:t xml:space="preserve">o grauteamento, segundo a disposição e especificações definidas em projeto, somente poderá ser realizado após </w:t>
      </w:r>
      <w:r w:rsidR="004533C8" w:rsidRPr="00297EB6">
        <w:t>40 horas</w:t>
      </w:r>
      <w:r w:rsidR="000A12E5" w:rsidRPr="00FA41B8">
        <w:t xml:space="preserve"> final da elevação da alvenaria;</w:t>
      </w:r>
    </w:p>
    <w:p w14:paraId="475BBF33" w14:textId="7917229A" w:rsidR="00D62B3C" w:rsidRDefault="00DC3B21" w:rsidP="000D6891">
      <w:pPr>
        <w:pStyle w:val="PargrafodaLista"/>
        <w:numPr>
          <w:ilvl w:val="0"/>
          <w:numId w:val="11"/>
        </w:numPr>
        <w:ind w:left="357" w:hanging="357"/>
      </w:pPr>
      <w:r>
        <w:t xml:space="preserve">promover a aplicação </w:t>
      </w:r>
      <w:r w:rsidR="008307E2">
        <w:t>de quaisquer camadas de revestimento aderido</w:t>
      </w:r>
      <w:r w:rsidR="00371C91">
        <w:t xml:space="preserve"> sobre a superfície acabada da parede antes de 14 dias após a data de finalização da elevação</w:t>
      </w:r>
      <w:r w:rsidR="0020022C">
        <w:t>,</w:t>
      </w:r>
      <w:r w:rsidR="00912138">
        <w:t xml:space="preserve"> a exemplo das camadas</w:t>
      </w:r>
      <w:r w:rsidR="00D62B3C">
        <w:t xml:space="preserve"> argamassadas</w:t>
      </w:r>
      <w:r w:rsidR="00912138">
        <w:t xml:space="preserve"> de chapisco</w:t>
      </w:r>
      <w:r w:rsidR="00D62B3C">
        <w:t xml:space="preserve"> e emboço</w:t>
      </w:r>
      <w:r w:rsidR="00A66F30">
        <w:t>.</w:t>
      </w:r>
    </w:p>
    <w:p w14:paraId="2936C554" w14:textId="2B7362A8" w:rsidR="00A95CF4" w:rsidRPr="009F6240" w:rsidRDefault="00A95CF4" w:rsidP="00CF7B48">
      <w:pPr>
        <w:pStyle w:val="Ttulo3"/>
        <w:rPr>
          <w:i w:val="0"/>
          <w:iCs/>
        </w:rPr>
      </w:pPr>
      <w:bookmarkStart w:id="53" w:name="_Ref186224007"/>
      <w:r w:rsidRPr="009F6240">
        <w:rPr>
          <w:i w:val="0"/>
          <w:iCs/>
        </w:rPr>
        <w:t>Prumo, nível e alinhamento dos elementos de alvenaria</w:t>
      </w:r>
      <w:bookmarkEnd w:id="53"/>
    </w:p>
    <w:p w14:paraId="7E110F80" w14:textId="2D386B3B" w:rsidR="00327899" w:rsidRDefault="00327899" w:rsidP="00327899">
      <w:r>
        <w:t>O desvio de prumo</w:t>
      </w:r>
      <w:r w:rsidR="00C53320">
        <w:t xml:space="preserve"> e o </w:t>
      </w:r>
      <w:r w:rsidR="00902987">
        <w:t>desalinhamento</w:t>
      </w:r>
      <w:r w:rsidR="00C53320">
        <w:t xml:space="preserve"> máximo das paredes e pilares do </w:t>
      </w:r>
      <w:r w:rsidR="00902987">
        <w:t>pavimento</w:t>
      </w:r>
      <w:r w:rsidR="00C53320">
        <w:t xml:space="preserve"> não podem superar </w:t>
      </w:r>
      <w:r w:rsidR="00AB57B5">
        <w:t xml:space="preserve">6 </w:t>
      </w:r>
      <w:r w:rsidR="00C53320">
        <w:t xml:space="preserve">mm, além de atender ao </w:t>
      </w:r>
      <w:r w:rsidR="00902987">
        <w:t>limite</w:t>
      </w:r>
      <w:r w:rsidR="00C53320">
        <w:t xml:space="preserve"> de 2 mm/m, </w:t>
      </w:r>
      <w:r w:rsidR="00C53320" w:rsidRPr="002E464F">
        <w:t xml:space="preserve">conforme </w:t>
      </w:r>
      <w:r w:rsidR="002E464F" w:rsidRPr="002E464F">
        <w:t>F</w:t>
      </w:r>
      <w:r w:rsidR="00C53320" w:rsidRPr="002E464F">
        <w:t xml:space="preserve">igura </w:t>
      </w:r>
      <w:r w:rsidR="002E464F">
        <w:t>4</w:t>
      </w:r>
      <w:r w:rsidR="00C53320" w:rsidRPr="002E464F">
        <w:t>.</w:t>
      </w:r>
      <w:r w:rsidR="00C53320">
        <w:t xml:space="preserve"> Na altura total da edificação</w:t>
      </w:r>
      <w:r w:rsidR="00902987">
        <w:t xml:space="preserve">, o máximo desvio de prumo permitido é de </w:t>
      </w:r>
      <w:r w:rsidR="00E254DB">
        <w:t xml:space="preserve">10 </w:t>
      </w:r>
      <w:r w:rsidR="00902987">
        <w:t>mm.</w:t>
      </w:r>
    </w:p>
    <w:p w14:paraId="59FB78D9" w14:textId="1EDB3143" w:rsidR="00902987" w:rsidRDefault="00EB5EF0" w:rsidP="00F647D4">
      <w:pPr>
        <w:jc w:val="center"/>
      </w:pPr>
      <w:r>
        <w:rPr>
          <w:noProof/>
        </w:rPr>
        <w:lastRenderedPageBreak/>
        <w:drawing>
          <wp:inline distT="0" distB="0" distL="0" distR="0" wp14:anchorId="2DEDBE90" wp14:editId="111874CD">
            <wp:extent cx="4445000" cy="3186981"/>
            <wp:effectExtent l="0" t="0" r="0" b="0"/>
            <wp:docPr id="156119879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8916" cy="3196959"/>
                    </a:xfrm>
                    <a:prstGeom prst="rect">
                      <a:avLst/>
                    </a:prstGeom>
                    <a:noFill/>
                    <a:ln>
                      <a:noFill/>
                    </a:ln>
                  </pic:spPr>
                </pic:pic>
              </a:graphicData>
            </a:graphic>
          </wp:inline>
        </w:drawing>
      </w:r>
    </w:p>
    <w:p w14:paraId="3452FCAF" w14:textId="7B240686" w:rsidR="002E464F" w:rsidRPr="004313A2" w:rsidRDefault="002E464F" w:rsidP="009F6240">
      <w:pPr>
        <w:pStyle w:val="Legenda"/>
        <w:spacing w:after="240"/>
        <w:jc w:val="center"/>
        <w:rPr>
          <w:b/>
          <w:bCs/>
          <w:i w:val="0"/>
          <w:iCs w:val="0"/>
          <w:color w:val="000000" w:themeColor="text1"/>
          <w:sz w:val="22"/>
          <w:szCs w:val="22"/>
        </w:rPr>
      </w:pPr>
      <w:r w:rsidRPr="004313A2">
        <w:rPr>
          <w:b/>
          <w:bCs/>
          <w:i w:val="0"/>
          <w:iCs w:val="0"/>
          <w:color w:val="000000" w:themeColor="text1"/>
          <w:sz w:val="22"/>
          <w:szCs w:val="22"/>
        </w:rPr>
        <w:t xml:space="preserve">Figura </w:t>
      </w:r>
      <w:r w:rsidRPr="004313A2">
        <w:rPr>
          <w:b/>
          <w:bCs/>
          <w:i w:val="0"/>
          <w:iCs w:val="0"/>
          <w:color w:val="000000" w:themeColor="text1"/>
          <w:sz w:val="22"/>
          <w:szCs w:val="22"/>
        </w:rPr>
        <w:fldChar w:fldCharType="begin"/>
      </w:r>
      <w:r w:rsidRPr="004313A2">
        <w:rPr>
          <w:b/>
          <w:bCs/>
          <w:i w:val="0"/>
          <w:iCs w:val="0"/>
          <w:color w:val="000000" w:themeColor="text1"/>
          <w:sz w:val="22"/>
          <w:szCs w:val="22"/>
        </w:rPr>
        <w:instrText xml:space="preserve"> SEQ Figura \* ARABIC </w:instrText>
      </w:r>
      <w:r w:rsidRPr="004313A2">
        <w:rPr>
          <w:b/>
          <w:bCs/>
          <w:i w:val="0"/>
          <w:iCs w:val="0"/>
          <w:color w:val="000000" w:themeColor="text1"/>
          <w:sz w:val="22"/>
          <w:szCs w:val="22"/>
        </w:rPr>
        <w:fldChar w:fldCharType="separate"/>
      </w:r>
      <w:r w:rsidR="00BB30C3">
        <w:rPr>
          <w:b/>
          <w:bCs/>
          <w:i w:val="0"/>
          <w:iCs w:val="0"/>
          <w:noProof/>
          <w:color w:val="000000" w:themeColor="text1"/>
          <w:sz w:val="22"/>
          <w:szCs w:val="22"/>
        </w:rPr>
        <w:t>4</w:t>
      </w:r>
      <w:r w:rsidRPr="004313A2">
        <w:rPr>
          <w:b/>
          <w:bCs/>
          <w:i w:val="0"/>
          <w:iCs w:val="0"/>
          <w:color w:val="000000" w:themeColor="text1"/>
          <w:sz w:val="22"/>
          <w:szCs w:val="22"/>
        </w:rPr>
        <w:fldChar w:fldCharType="end"/>
      </w:r>
      <w:r w:rsidRPr="004313A2">
        <w:rPr>
          <w:b/>
          <w:bCs/>
          <w:i w:val="0"/>
          <w:iCs w:val="0"/>
          <w:color w:val="000000" w:themeColor="text1"/>
          <w:sz w:val="22"/>
          <w:szCs w:val="22"/>
        </w:rPr>
        <w:t xml:space="preserve"> —</w:t>
      </w:r>
      <w:r w:rsidR="003E2998">
        <w:rPr>
          <w:b/>
          <w:bCs/>
          <w:i w:val="0"/>
          <w:iCs w:val="0"/>
          <w:color w:val="000000" w:themeColor="text1"/>
          <w:sz w:val="22"/>
          <w:szCs w:val="22"/>
        </w:rPr>
        <w:t xml:space="preserve"> Limites máximos para o desaprumo e desalinhamento de paredes e desnível da fiada de respaldo</w:t>
      </w:r>
    </w:p>
    <w:p w14:paraId="664356AB" w14:textId="0EE42E49" w:rsidR="00DD1565" w:rsidRPr="001F0B35" w:rsidRDefault="00DD1565" w:rsidP="00DD1565">
      <w:r>
        <w:t xml:space="preserve">A descontinuidade vertical de pilares e paredes de um pavimento para outro pode ser no máximo de 5 mm, </w:t>
      </w:r>
      <w:r w:rsidRPr="001F0B35">
        <w:t>conforme Figura</w:t>
      </w:r>
      <w:r w:rsidR="00276706" w:rsidRPr="001F0B35">
        <w:t xml:space="preserve"> </w:t>
      </w:r>
      <w:r w:rsidR="001F0B35" w:rsidRPr="001F0B35">
        <w:t>5</w:t>
      </w:r>
      <w:r w:rsidRPr="001F0B35">
        <w:t>. No caso das alvenarias periféricas, a tolerância do desalinhamento em relação à laje é de 5 mm.</w:t>
      </w:r>
    </w:p>
    <w:p w14:paraId="4060BDF4" w14:textId="62D058B8" w:rsidR="00DD1565" w:rsidRDefault="00DD1565" w:rsidP="00DD1565">
      <w:r w:rsidRPr="001F0B35">
        <w:t>O nível superior da fiada de respaldo deve ser tal que a variação do pé-direito final do pavimento não seja menor do que 5 mm ou maior do que 10 mm do pé-direito especificado em projeto, conforme Figura</w:t>
      </w:r>
      <w:r w:rsidR="00276706" w:rsidRPr="001F0B35">
        <w:t xml:space="preserve"> </w:t>
      </w:r>
      <w:r w:rsidR="001F0B35" w:rsidRPr="001F0B35">
        <w:t>4</w:t>
      </w:r>
      <w:r w:rsidRPr="001F0B35">
        <w:t>.</w:t>
      </w:r>
    </w:p>
    <w:p w14:paraId="406E37B9" w14:textId="6F6FF1E5" w:rsidR="00F647D4" w:rsidRDefault="00EB5EF0" w:rsidP="009F6240">
      <w:pPr>
        <w:jc w:val="center"/>
      </w:pPr>
      <w:r>
        <w:rPr>
          <w:noProof/>
        </w:rPr>
        <w:drawing>
          <wp:inline distT="0" distB="0" distL="0" distR="0" wp14:anchorId="6E4F1DB2" wp14:editId="01A92232">
            <wp:extent cx="4713543" cy="2294626"/>
            <wp:effectExtent l="0" t="0" r="0" b="0"/>
            <wp:docPr id="210455106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981" cy="2319667"/>
                    </a:xfrm>
                    <a:prstGeom prst="rect">
                      <a:avLst/>
                    </a:prstGeom>
                    <a:noFill/>
                    <a:ln>
                      <a:noFill/>
                    </a:ln>
                  </pic:spPr>
                </pic:pic>
              </a:graphicData>
            </a:graphic>
          </wp:inline>
        </w:drawing>
      </w:r>
    </w:p>
    <w:p w14:paraId="7978F4B0" w14:textId="5AA473E0" w:rsidR="00D81FAC" w:rsidRPr="004313A2" w:rsidRDefault="00D81FAC" w:rsidP="00385B2E">
      <w:pPr>
        <w:pStyle w:val="Legenda"/>
        <w:spacing w:after="0"/>
        <w:jc w:val="center"/>
        <w:rPr>
          <w:b/>
          <w:bCs/>
          <w:i w:val="0"/>
          <w:iCs w:val="0"/>
          <w:color w:val="000000" w:themeColor="text1"/>
          <w:sz w:val="22"/>
          <w:szCs w:val="22"/>
        </w:rPr>
      </w:pPr>
      <w:r w:rsidRPr="004313A2">
        <w:rPr>
          <w:b/>
          <w:bCs/>
          <w:i w:val="0"/>
          <w:iCs w:val="0"/>
          <w:color w:val="000000" w:themeColor="text1"/>
          <w:sz w:val="22"/>
          <w:szCs w:val="22"/>
        </w:rPr>
        <w:t xml:space="preserve">Figura </w:t>
      </w:r>
      <w:r w:rsidRPr="004313A2">
        <w:rPr>
          <w:b/>
          <w:bCs/>
          <w:i w:val="0"/>
          <w:iCs w:val="0"/>
          <w:color w:val="000000" w:themeColor="text1"/>
          <w:sz w:val="22"/>
          <w:szCs w:val="22"/>
        </w:rPr>
        <w:fldChar w:fldCharType="begin"/>
      </w:r>
      <w:r w:rsidRPr="004313A2">
        <w:rPr>
          <w:b/>
          <w:bCs/>
          <w:i w:val="0"/>
          <w:iCs w:val="0"/>
          <w:color w:val="000000" w:themeColor="text1"/>
          <w:sz w:val="22"/>
          <w:szCs w:val="22"/>
        </w:rPr>
        <w:instrText xml:space="preserve"> SEQ Figura \* ARABIC </w:instrText>
      </w:r>
      <w:r w:rsidRPr="004313A2">
        <w:rPr>
          <w:b/>
          <w:bCs/>
          <w:i w:val="0"/>
          <w:iCs w:val="0"/>
          <w:color w:val="000000" w:themeColor="text1"/>
          <w:sz w:val="22"/>
          <w:szCs w:val="22"/>
        </w:rPr>
        <w:fldChar w:fldCharType="separate"/>
      </w:r>
      <w:r w:rsidR="00BB30C3">
        <w:rPr>
          <w:b/>
          <w:bCs/>
          <w:i w:val="0"/>
          <w:iCs w:val="0"/>
          <w:noProof/>
          <w:color w:val="000000" w:themeColor="text1"/>
          <w:sz w:val="22"/>
          <w:szCs w:val="22"/>
        </w:rPr>
        <w:t>5</w:t>
      </w:r>
      <w:r w:rsidRPr="004313A2">
        <w:rPr>
          <w:b/>
          <w:bCs/>
          <w:i w:val="0"/>
          <w:iCs w:val="0"/>
          <w:color w:val="000000" w:themeColor="text1"/>
          <w:sz w:val="22"/>
          <w:szCs w:val="22"/>
        </w:rPr>
        <w:fldChar w:fldCharType="end"/>
      </w:r>
      <w:r w:rsidRPr="004313A2">
        <w:rPr>
          <w:b/>
          <w:bCs/>
          <w:i w:val="0"/>
          <w:iCs w:val="0"/>
          <w:color w:val="000000" w:themeColor="text1"/>
          <w:sz w:val="22"/>
          <w:szCs w:val="22"/>
        </w:rPr>
        <w:t xml:space="preserve"> —</w:t>
      </w:r>
      <w:r>
        <w:rPr>
          <w:b/>
          <w:bCs/>
          <w:i w:val="0"/>
          <w:iCs w:val="0"/>
          <w:color w:val="000000" w:themeColor="text1"/>
          <w:sz w:val="22"/>
          <w:szCs w:val="22"/>
        </w:rPr>
        <w:t xml:space="preserve"> </w:t>
      </w:r>
      <w:r w:rsidR="001F0B35">
        <w:rPr>
          <w:b/>
          <w:bCs/>
          <w:i w:val="0"/>
          <w:iCs w:val="0"/>
          <w:color w:val="000000" w:themeColor="text1"/>
          <w:sz w:val="22"/>
          <w:szCs w:val="22"/>
        </w:rPr>
        <w:t>Descontinuidade máxima das paredes e pilares entre andares</w:t>
      </w:r>
    </w:p>
    <w:p w14:paraId="76CB89F8" w14:textId="77777777" w:rsidR="00D81FAC" w:rsidRDefault="00D81FAC" w:rsidP="00E15F57">
      <w:pPr>
        <w:spacing w:after="0"/>
        <w:jc w:val="center"/>
      </w:pPr>
    </w:p>
    <w:p w14:paraId="1B41DA1F" w14:textId="6724FF8A" w:rsidR="009152D3" w:rsidRDefault="00953C43" w:rsidP="009152D3">
      <w:r w:rsidRPr="00EA5AB8">
        <w:t xml:space="preserve">A </w:t>
      </w:r>
      <w:r w:rsidR="00611150" w:rsidRPr="00EA5AB8">
        <w:t>T</w:t>
      </w:r>
      <w:r w:rsidRPr="00EA5AB8">
        <w:t xml:space="preserve">abela </w:t>
      </w:r>
      <w:r w:rsidR="00611150" w:rsidRPr="00EA5AB8">
        <w:t>1</w:t>
      </w:r>
      <w:r w:rsidRPr="00EA5AB8">
        <w:t xml:space="preserve"> apresenta o resumo das variáveis de controle geométrico que devem ser</w:t>
      </w:r>
      <w:r>
        <w:t xml:space="preserve"> </w:t>
      </w:r>
      <w:r w:rsidR="00054251">
        <w:t>respeitadas na produção da alvenaria.</w:t>
      </w:r>
    </w:p>
    <w:p w14:paraId="43815836" w14:textId="0F79ED5A" w:rsidR="00611150" w:rsidRPr="008030B1" w:rsidRDefault="00611150" w:rsidP="009741DE">
      <w:pPr>
        <w:pStyle w:val="Legenda"/>
        <w:keepNext/>
        <w:spacing w:after="0"/>
        <w:jc w:val="center"/>
        <w:rPr>
          <w:b/>
          <w:bCs/>
          <w:i w:val="0"/>
          <w:iCs w:val="0"/>
          <w:color w:val="000000" w:themeColor="text1"/>
          <w:sz w:val="22"/>
          <w:szCs w:val="22"/>
        </w:rPr>
      </w:pPr>
      <w:r w:rsidRPr="008030B1">
        <w:rPr>
          <w:b/>
          <w:bCs/>
          <w:i w:val="0"/>
          <w:iCs w:val="0"/>
          <w:color w:val="000000" w:themeColor="text1"/>
          <w:sz w:val="22"/>
          <w:szCs w:val="22"/>
        </w:rPr>
        <w:lastRenderedPageBreak/>
        <w:t xml:space="preserve">Tabela </w:t>
      </w:r>
      <w:r w:rsidRPr="008030B1">
        <w:rPr>
          <w:b/>
          <w:bCs/>
          <w:i w:val="0"/>
          <w:iCs w:val="0"/>
          <w:color w:val="000000" w:themeColor="text1"/>
          <w:sz w:val="22"/>
          <w:szCs w:val="22"/>
        </w:rPr>
        <w:fldChar w:fldCharType="begin"/>
      </w:r>
      <w:r w:rsidRPr="008030B1">
        <w:rPr>
          <w:b/>
          <w:bCs/>
          <w:i w:val="0"/>
          <w:iCs w:val="0"/>
          <w:color w:val="000000" w:themeColor="text1"/>
          <w:sz w:val="22"/>
          <w:szCs w:val="22"/>
        </w:rPr>
        <w:instrText xml:space="preserve"> SEQ Tabela \* ARABIC </w:instrText>
      </w:r>
      <w:r w:rsidRPr="008030B1">
        <w:rPr>
          <w:b/>
          <w:bCs/>
          <w:i w:val="0"/>
          <w:iCs w:val="0"/>
          <w:color w:val="000000" w:themeColor="text1"/>
          <w:sz w:val="22"/>
          <w:szCs w:val="22"/>
        </w:rPr>
        <w:fldChar w:fldCharType="separate"/>
      </w:r>
      <w:r w:rsidR="00BB30C3">
        <w:rPr>
          <w:b/>
          <w:bCs/>
          <w:i w:val="0"/>
          <w:iCs w:val="0"/>
          <w:noProof/>
          <w:color w:val="000000" w:themeColor="text1"/>
          <w:sz w:val="22"/>
          <w:szCs w:val="22"/>
        </w:rPr>
        <w:t>1</w:t>
      </w:r>
      <w:r w:rsidRPr="008030B1">
        <w:rPr>
          <w:b/>
          <w:bCs/>
          <w:i w:val="0"/>
          <w:iCs w:val="0"/>
          <w:color w:val="000000" w:themeColor="text1"/>
          <w:sz w:val="22"/>
          <w:szCs w:val="22"/>
        </w:rPr>
        <w:fldChar w:fldCharType="end"/>
      </w:r>
      <w:r w:rsidRPr="008030B1">
        <w:rPr>
          <w:b/>
          <w:bCs/>
          <w:i w:val="0"/>
          <w:iCs w:val="0"/>
          <w:color w:val="000000" w:themeColor="text1"/>
          <w:sz w:val="22"/>
          <w:szCs w:val="22"/>
        </w:rPr>
        <w:t xml:space="preserve"> — </w:t>
      </w:r>
      <w:r w:rsidR="00247630">
        <w:rPr>
          <w:b/>
          <w:bCs/>
          <w:i w:val="0"/>
          <w:iCs w:val="0"/>
          <w:color w:val="000000" w:themeColor="text1"/>
          <w:sz w:val="22"/>
          <w:szCs w:val="22"/>
        </w:rPr>
        <w:t>Variáveis de controle geométrico na produção da alvenaria</w:t>
      </w:r>
    </w:p>
    <w:tbl>
      <w:tblPr>
        <w:tblStyle w:val="Tabelacomgrade"/>
        <w:tblW w:w="0" w:type="auto"/>
        <w:jc w:val="center"/>
        <w:tblLook w:val="04A0" w:firstRow="1" w:lastRow="0" w:firstColumn="1" w:lastColumn="0" w:noHBand="0" w:noVBand="1"/>
      </w:tblPr>
      <w:tblGrid>
        <w:gridCol w:w="1555"/>
        <w:gridCol w:w="3402"/>
        <w:gridCol w:w="3537"/>
      </w:tblGrid>
      <w:tr w:rsidR="00F254A6" w14:paraId="5AD03EAD" w14:textId="77777777" w:rsidTr="0043729E">
        <w:trPr>
          <w:jc w:val="center"/>
        </w:trPr>
        <w:tc>
          <w:tcPr>
            <w:tcW w:w="4957" w:type="dxa"/>
            <w:gridSpan w:val="2"/>
            <w:vAlign w:val="center"/>
          </w:tcPr>
          <w:p w14:paraId="56698DF7" w14:textId="5DE3A8F1" w:rsidR="00F254A6" w:rsidRPr="00EC009F" w:rsidRDefault="00F254A6" w:rsidP="00487EBC">
            <w:pPr>
              <w:jc w:val="left"/>
              <w:rPr>
                <w:b/>
                <w:bCs/>
              </w:rPr>
            </w:pPr>
            <w:r w:rsidRPr="00EC009F">
              <w:rPr>
                <w:b/>
                <w:bCs/>
              </w:rPr>
              <w:t>Fator</w:t>
            </w:r>
          </w:p>
        </w:tc>
        <w:tc>
          <w:tcPr>
            <w:tcW w:w="3537" w:type="dxa"/>
            <w:vAlign w:val="center"/>
          </w:tcPr>
          <w:p w14:paraId="2A780E7B" w14:textId="26855735" w:rsidR="00F254A6" w:rsidRPr="00EC009F" w:rsidRDefault="00EC009F" w:rsidP="00487EBC">
            <w:pPr>
              <w:jc w:val="left"/>
              <w:rPr>
                <w:b/>
                <w:bCs/>
              </w:rPr>
            </w:pPr>
            <w:r w:rsidRPr="00EC009F">
              <w:rPr>
                <w:b/>
                <w:bCs/>
              </w:rPr>
              <w:t>Dimensões e tolerâncias</w:t>
            </w:r>
          </w:p>
        </w:tc>
      </w:tr>
      <w:tr w:rsidR="00387F35" w14:paraId="3D33EF44" w14:textId="77777777" w:rsidTr="00DE5F2D">
        <w:trPr>
          <w:trHeight w:val="347"/>
          <w:jc w:val="center"/>
        </w:trPr>
        <w:tc>
          <w:tcPr>
            <w:tcW w:w="1555" w:type="dxa"/>
            <w:vMerge w:val="restart"/>
            <w:vAlign w:val="center"/>
          </w:tcPr>
          <w:p w14:paraId="02016352" w14:textId="07F3266C" w:rsidR="00387F35" w:rsidRDefault="00387F35" w:rsidP="00487EBC">
            <w:pPr>
              <w:jc w:val="left"/>
            </w:pPr>
            <w:r>
              <w:t>Junta horizontal</w:t>
            </w:r>
          </w:p>
        </w:tc>
        <w:tc>
          <w:tcPr>
            <w:tcW w:w="3402" w:type="dxa"/>
            <w:vAlign w:val="center"/>
          </w:tcPr>
          <w:p w14:paraId="0A4BE68E" w14:textId="50411B12" w:rsidR="00387F35" w:rsidRDefault="00387F35" w:rsidP="00487EBC">
            <w:pPr>
              <w:jc w:val="left"/>
            </w:pPr>
            <w:r>
              <w:t>Espessura</w:t>
            </w:r>
          </w:p>
        </w:tc>
        <w:tc>
          <w:tcPr>
            <w:tcW w:w="3537" w:type="dxa"/>
            <w:vAlign w:val="center"/>
          </w:tcPr>
          <w:p w14:paraId="1CD89E0C" w14:textId="3EC1EED3" w:rsidR="00387F35" w:rsidRDefault="00387F35" w:rsidP="00487EBC">
            <w:pPr>
              <w:jc w:val="left"/>
            </w:pPr>
            <w:r>
              <w:t xml:space="preserve">Entre </w:t>
            </w:r>
            <w:r w:rsidR="00772A2F">
              <w:t>1,0</w:t>
            </w:r>
            <w:r>
              <w:t xml:space="preserve"> mm e 3,0 mm</w:t>
            </w:r>
          </w:p>
        </w:tc>
      </w:tr>
      <w:tr w:rsidR="00387F35" w14:paraId="18CEB0F4" w14:textId="77777777" w:rsidTr="00DE5F2D">
        <w:trPr>
          <w:trHeight w:val="347"/>
          <w:jc w:val="center"/>
        </w:trPr>
        <w:tc>
          <w:tcPr>
            <w:tcW w:w="1555" w:type="dxa"/>
            <w:vMerge/>
            <w:vAlign w:val="center"/>
          </w:tcPr>
          <w:p w14:paraId="0C6EE826" w14:textId="3C5C8576" w:rsidR="00387F35" w:rsidRDefault="00387F35" w:rsidP="00487EBC">
            <w:pPr>
              <w:jc w:val="left"/>
            </w:pPr>
          </w:p>
        </w:tc>
        <w:tc>
          <w:tcPr>
            <w:tcW w:w="3402" w:type="dxa"/>
            <w:vMerge w:val="restart"/>
            <w:vAlign w:val="center"/>
          </w:tcPr>
          <w:p w14:paraId="15CCACE9" w14:textId="732D6AC0" w:rsidR="00387F35" w:rsidRDefault="00387F35" w:rsidP="00487EBC">
            <w:pPr>
              <w:jc w:val="left"/>
            </w:pPr>
            <w:r>
              <w:t>Nível</w:t>
            </w:r>
          </w:p>
        </w:tc>
        <w:tc>
          <w:tcPr>
            <w:tcW w:w="3537" w:type="dxa"/>
            <w:vAlign w:val="center"/>
          </w:tcPr>
          <w:p w14:paraId="68121579" w14:textId="418C8B28" w:rsidR="00387F35" w:rsidRDefault="00387F35" w:rsidP="00487EBC">
            <w:pPr>
              <w:jc w:val="left"/>
            </w:pPr>
            <w:r>
              <w:t>2 mm/m</w:t>
            </w:r>
          </w:p>
        </w:tc>
      </w:tr>
      <w:tr w:rsidR="00387F35" w14:paraId="189AB382" w14:textId="77777777" w:rsidTr="00DE5F2D">
        <w:trPr>
          <w:trHeight w:val="347"/>
          <w:jc w:val="center"/>
        </w:trPr>
        <w:tc>
          <w:tcPr>
            <w:tcW w:w="1555" w:type="dxa"/>
            <w:vMerge/>
            <w:vAlign w:val="center"/>
          </w:tcPr>
          <w:p w14:paraId="4C674CFE" w14:textId="77777777" w:rsidR="00387F35" w:rsidRDefault="00387F35" w:rsidP="00487EBC">
            <w:pPr>
              <w:jc w:val="left"/>
            </w:pPr>
          </w:p>
        </w:tc>
        <w:tc>
          <w:tcPr>
            <w:tcW w:w="3402" w:type="dxa"/>
            <w:vMerge/>
            <w:vAlign w:val="center"/>
          </w:tcPr>
          <w:p w14:paraId="320189A3" w14:textId="77777777" w:rsidR="00387F35" w:rsidRDefault="00387F35" w:rsidP="00487EBC">
            <w:pPr>
              <w:jc w:val="left"/>
            </w:pPr>
          </w:p>
        </w:tc>
        <w:tc>
          <w:tcPr>
            <w:tcW w:w="3537" w:type="dxa"/>
            <w:vAlign w:val="center"/>
          </w:tcPr>
          <w:p w14:paraId="0009F222" w14:textId="0665F95D" w:rsidR="00387F35" w:rsidRDefault="00387F35" w:rsidP="00487EBC">
            <w:pPr>
              <w:jc w:val="left"/>
            </w:pPr>
            <w:r>
              <w:t>10 mm no máximo</w:t>
            </w:r>
          </w:p>
        </w:tc>
      </w:tr>
      <w:tr w:rsidR="00387F35" w14:paraId="2E71F1E5" w14:textId="77777777" w:rsidTr="00DE5F2D">
        <w:trPr>
          <w:trHeight w:val="347"/>
          <w:jc w:val="center"/>
        </w:trPr>
        <w:tc>
          <w:tcPr>
            <w:tcW w:w="1555" w:type="dxa"/>
            <w:vMerge w:val="restart"/>
            <w:vAlign w:val="center"/>
          </w:tcPr>
          <w:p w14:paraId="4F9E0BA6" w14:textId="77777777" w:rsidR="00387F35" w:rsidRDefault="00387F35" w:rsidP="00487EBC">
            <w:pPr>
              <w:jc w:val="left"/>
            </w:pPr>
            <w:r>
              <w:t>Junta</w:t>
            </w:r>
          </w:p>
          <w:p w14:paraId="01E53BB4" w14:textId="0EAE4BC9" w:rsidR="00387F35" w:rsidRDefault="00387F35" w:rsidP="00487EBC">
            <w:pPr>
              <w:jc w:val="left"/>
            </w:pPr>
            <w:r>
              <w:t>vertical</w:t>
            </w:r>
          </w:p>
        </w:tc>
        <w:tc>
          <w:tcPr>
            <w:tcW w:w="3402" w:type="dxa"/>
            <w:vAlign w:val="center"/>
          </w:tcPr>
          <w:p w14:paraId="52300F5F" w14:textId="0A806536" w:rsidR="00387F35" w:rsidRDefault="00387F35" w:rsidP="00487EBC">
            <w:pPr>
              <w:jc w:val="left"/>
            </w:pPr>
            <w:r>
              <w:t>Espessura</w:t>
            </w:r>
          </w:p>
        </w:tc>
        <w:tc>
          <w:tcPr>
            <w:tcW w:w="3537" w:type="dxa"/>
            <w:vAlign w:val="center"/>
          </w:tcPr>
          <w:p w14:paraId="18CA92E4" w14:textId="30F3E50D" w:rsidR="00387F35" w:rsidRDefault="00387F35" w:rsidP="00487EBC">
            <w:pPr>
              <w:jc w:val="left"/>
            </w:pPr>
            <w:r>
              <w:t xml:space="preserve">Entre </w:t>
            </w:r>
            <w:r w:rsidR="00772A2F">
              <w:t>1,0</w:t>
            </w:r>
            <w:r>
              <w:t xml:space="preserve"> mm e 3,0 mm</w:t>
            </w:r>
          </w:p>
        </w:tc>
      </w:tr>
      <w:tr w:rsidR="00387F35" w14:paraId="30F6079C" w14:textId="77777777" w:rsidTr="00DE5F2D">
        <w:trPr>
          <w:trHeight w:val="347"/>
          <w:jc w:val="center"/>
        </w:trPr>
        <w:tc>
          <w:tcPr>
            <w:tcW w:w="1555" w:type="dxa"/>
            <w:vMerge/>
            <w:vAlign w:val="center"/>
          </w:tcPr>
          <w:p w14:paraId="6459B974" w14:textId="77777777" w:rsidR="00387F35" w:rsidRDefault="00387F35" w:rsidP="00487EBC">
            <w:pPr>
              <w:jc w:val="left"/>
            </w:pPr>
          </w:p>
        </w:tc>
        <w:tc>
          <w:tcPr>
            <w:tcW w:w="3402" w:type="dxa"/>
            <w:vMerge w:val="restart"/>
            <w:vAlign w:val="center"/>
          </w:tcPr>
          <w:p w14:paraId="612C7A1F" w14:textId="7E1F5EB7" w:rsidR="00387F35" w:rsidRDefault="00387F35" w:rsidP="00487EBC">
            <w:pPr>
              <w:jc w:val="left"/>
            </w:pPr>
            <w:r>
              <w:t>Alinhamento vertical</w:t>
            </w:r>
          </w:p>
        </w:tc>
        <w:tc>
          <w:tcPr>
            <w:tcW w:w="3537" w:type="dxa"/>
            <w:vAlign w:val="center"/>
          </w:tcPr>
          <w:p w14:paraId="0255CF15" w14:textId="0DDE08D7" w:rsidR="00387F35" w:rsidRDefault="00387F35" w:rsidP="00487EBC">
            <w:pPr>
              <w:jc w:val="left"/>
            </w:pPr>
            <w:r>
              <w:t>2 mm/m</w:t>
            </w:r>
          </w:p>
        </w:tc>
      </w:tr>
      <w:tr w:rsidR="00387F35" w14:paraId="61B19008" w14:textId="77777777" w:rsidTr="00DE5F2D">
        <w:trPr>
          <w:trHeight w:val="347"/>
          <w:jc w:val="center"/>
        </w:trPr>
        <w:tc>
          <w:tcPr>
            <w:tcW w:w="1555" w:type="dxa"/>
            <w:vMerge/>
            <w:vAlign w:val="center"/>
          </w:tcPr>
          <w:p w14:paraId="698EC13D" w14:textId="77777777" w:rsidR="00387F35" w:rsidRDefault="00387F35" w:rsidP="00487EBC">
            <w:pPr>
              <w:jc w:val="left"/>
            </w:pPr>
          </w:p>
        </w:tc>
        <w:tc>
          <w:tcPr>
            <w:tcW w:w="3402" w:type="dxa"/>
            <w:vMerge/>
            <w:vAlign w:val="center"/>
          </w:tcPr>
          <w:p w14:paraId="249842A3" w14:textId="77777777" w:rsidR="00387F35" w:rsidRDefault="00387F35" w:rsidP="00487EBC">
            <w:pPr>
              <w:jc w:val="left"/>
            </w:pPr>
          </w:p>
        </w:tc>
        <w:tc>
          <w:tcPr>
            <w:tcW w:w="3537" w:type="dxa"/>
            <w:vAlign w:val="center"/>
          </w:tcPr>
          <w:p w14:paraId="00413C43" w14:textId="1A05E3C5" w:rsidR="00387F35" w:rsidRDefault="00387F35" w:rsidP="00487EBC">
            <w:pPr>
              <w:jc w:val="left"/>
            </w:pPr>
            <w:r>
              <w:t>10 mm no máximo</w:t>
            </w:r>
          </w:p>
        </w:tc>
      </w:tr>
      <w:tr w:rsidR="00502DB1" w14:paraId="664E27F5" w14:textId="77777777" w:rsidTr="00DE5F2D">
        <w:trPr>
          <w:trHeight w:val="347"/>
          <w:jc w:val="center"/>
        </w:trPr>
        <w:tc>
          <w:tcPr>
            <w:tcW w:w="1555" w:type="dxa"/>
            <w:vMerge w:val="restart"/>
            <w:vAlign w:val="center"/>
          </w:tcPr>
          <w:p w14:paraId="73EF7DDD" w14:textId="56CAF648" w:rsidR="00502DB1" w:rsidRDefault="00502DB1" w:rsidP="00487EBC">
            <w:pPr>
              <w:jc w:val="left"/>
            </w:pPr>
            <w:r>
              <w:t>Alinhamento e locação da parede</w:t>
            </w:r>
          </w:p>
        </w:tc>
        <w:tc>
          <w:tcPr>
            <w:tcW w:w="3402" w:type="dxa"/>
            <w:vMerge w:val="restart"/>
            <w:vAlign w:val="center"/>
          </w:tcPr>
          <w:p w14:paraId="45BC7248" w14:textId="2F8E5218" w:rsidR="00502DB1" w:rsidRDefault="00502DB1" w:rsidP="00487EBC">
            <w:pPr>
              <w:jc w:val="left"/>
            </w:pPr>
            <w:r>
              <w:t>Vertical (desvio de prumo)</w:t>
            </w:r>
          </w:p>
        </w:tc>
        <w:tc>
          <w:tcPr>
            <w:tcW w:w="3537" w:type="dxa"/>
            <w:vAlign w:val="center"/>
          </w:tcPr>
          <w:p w14:paraId="69791CAE" w14:textId="6940F90B" w:rsidR="00502DB1" w:rsidRDefault="00502DB1" w:rsidP="00487EBC">
            <w:pPr>
              <w:jc w:val="left"/>
            </w:pPr>
            <w:r>
              <w:t>± 2 mm/m</w:t>
            </w:r>
          </w:p>
        </w:tc>
      </w:tr>
      <w:tr w:rsidR="00502DB1" w14:paraId="450FC34B" w14:textId="77777777" w:rsidTr="00DE5F2D">
        <w:trPr>
          <w:trHeight w:val="347"/>
          <w:jc w:val="center"/>
        </w:trPr>
        <w:tc>
          <w:tcPr>
            <w:tcW w:w="1555" w:type="dxa"/>
            <w:vMerge/>
            <w:vAlign w:val="center"/>
          </w:tcPr>
          <w:p w14:paraId="12087FF2" w14:textId="77777777" w:rsidR="00502DB1" w:rsidRDefault="00502DB1" w:rsidP="00487EBC">
            <w:pPr>
              <w:jc w:val="left"/>
            </w:pPr>
          </w:p>
        </w:tc>
        <w:tc>
          <w:tcPr>
            <w:tcW w:w="3402" w:type="dxa"/>
            <w:vMerge/>
            <w:vAlign w:val="center"/>
          </w:tcPr>
          <w:p w14:paraId="6B211657" w14:textId="77777777" w:rsidR="00502DB1" w:rsidRDefault="00502DB1" w:rsidP="00487EBC">
            <w:pPr>
              <w:jc w:val="left"/>
            </w:pPr>
          </w:p>
        </w:tc>
        <w:tc>
          <w:tcPr>
            <w:tcW w:w="3537" w:type="dxa"/>
            <w:vAlign w:val="center"/>
          </w:tcPr>
          <w:p w14:paraId="6F6306FB" w14:textId="17A6F9BE" w:rsidR="00502DB1" w:rsidRDefault="00502DB1" w:rsidP="00487EBC">
            <w:pPr>
              <w:jc w:val="left"/>
            </w:pPr>
            <w:r>
              <w:t xml:space="preserve">± </w:t>
            </w:r>
            <w:r w:rsidR="00AC0E22">
              <w:t xml:space="preserve">6 </w:t>
            </w:r>
            <w:r>
              <w:t>mm no máximo</w:t>
            </w:r>
          </w:p>
        </w:tc>
      </w:tr>
      <w:tr w:rsidR="00502DB1" w14:paraId="7A5FA3DF" w14:textId="77777777" w:rsidTr="00DE5F2D">
        <w:trPr>
          <w:trHeight w:val="347"/>
          <w:jc w:val="center"/>
        </w:trPr>
        <w:tc>
          <w:tcPr>
            <w:tcW w:w="1555" w:type="dxa"/>
            <w:vMerge/>
            <w:vAlign w:val="center"/>
          </w:tcPr>
          <w:p w14:paraId="08C3F4AF" w14:textId="77777777" w:rsidR="00502DB1" w:rsidRDefault="00502DB1" w:rsidP="00487EBC">
            <w:pPr>
              <w:jc w:val="left"/>
            </w:pPr>
          </w:p>
        </w:tc>
        <w:tc>
          <w:tcPr>
            <w:tcW w:w="3402" w:type="dxa"/>
            <w:vMerge/>
            <w:vAlign w:val="center"/>
          </w:tcPr>
          <w:p w14:paraId="608E8848" w14:textId="77777777" w:rsidR="00502DB1" w:rsidRDefault="00502DB1" w:rsidP="00487EBC">
            <w:pPr>
              <w:jc w:val="left"/>
            </w:pPr>
          </w:p>
        </w:tc>
        <w:tc>
          <w:tcPr>
            <w:tcW w:w="3537" w:type="dxa"/>
            <w:vAlign w:val="center"/>
          </w:tcPr>
          <w:p w14:paraId="570F2086" w14:textId="7BC7B594" w:rsidR="00502DB1" w:rsidRDefault="00502DB1" w:rsidP="00487EBC">
            <w:pPr>
              <w:jc w:val="left"/>
            </w:pPr>
            <w:r>
              <w:t xml:space="preserve">± </w:t>
            </w:r>
            <w:r w:rsidR="00AC0E22">
              <w:t xml:space="preserve">10 </w:t>
            </w:r>
            <w:r>
              <w:t>mm na altura da edificação</w:t>
            </w:r>
          </w:p>
        </w:tc>
      </w:tr>
      <w:tr w:rsidR="00502DB1" w14:paraId="55255A55" w14:textId="77777777" w:rsidTr="00DE5F2D">
        <w:trPr>
          <w:trHeight w:val="347"/>
          <w:jc w:val="center"/>
        </w:trPr>
        <w:tc>
          <w:tcPr>
            <w:tcW w:w="1555" w:type="dxa"/>
            <w:vMerge/>
            <w:vAlign w:val="center"/>
          </w:tcPr>
          <w:p w14:paraId="421E9121" w14:textId="77777777" w:rsidR="00502DB1" w:rsidRDefault="00502DB1" w:rsidP="00487EBC">
            <w:pPr>
              <w:jc w:val="left"/>
            </w:pPr>
          </w:p>
        </w:tc>
        <w:tc>
          <w:tcPr>
            <w:tcW w:w="3402" w:type="dxa"/>
            <w:vMerge w:val="restart"/>
            <w:vAlign w:val="center"/>
          </w:tcPr>
          <w:p w14:paraId="29B28737" w14:textId="6102780D" w:rsidR="00502DB1" w:rsidRDefault="00502DB1" w:rsidP="00487EBC">
            <w:pPr>
              <w:jc w:val="left"/>
            </w:pPr>
            <w:r>
              <w:t>Horizontal (desvio em relação à locação e ao desalinhamento)</w:t>
            </w:r>
          </w:p>
        </w:tc>
        <w:tc>
          <w:tcPr>
            <w:tcW w:w="3537" w:type="dxa"/>
            <w:vAlign w:val="center"/>
          </w:tcPr>
          <w:p w14:paraId="40FA15DB" w14:textId="599E7395" w:rsidR="00502DB1" w:rsidRDefault="00502DB1" w:rsidP="00487EBC">
            <w:pPr>
              <w:jc w:val="left"/>
            </w:pPr>
            <w:r>
              <w:t>± 2 mm/m</w:t>
            </w:r>
          </w:p>
        </w:tc>
      </w:tr>
      <w:tr w:rsidR="00F254A6" w14:paraId="4621329B" w14:textId="77777777" w:rsidTr="00DE5F2D">
        <w:trPr>
          <w:trHeight w:val="347"/>
          <w:jc w:val="center"/>
        </w:trPr>
        <w:tc>
          <w:tcPr>
            <w:tcW w:w="1555" w:type="dxa"/>
            <w:vMerge/>
            <w:vAlign w:val="center"/>
          </w:tcPr>
          <w:p w14:paraId="15075EAD" w14:textId="77777777" w:rsidR="00F254A6" w:rsidRDefault="00F254A6" w:rsidP="00487EBC">
            <w:pPr>
              <w:jc w:val="left"/>
            </w:pPr>
          </w:p>
        </w:tc>
        <w:tc>
          <w:tcPr>
            <w:tcW w:w="3402" w:type="dxa"/>
            <w:vMerge/>
            <w:vAlign w:val="center"/>
          </w:tcPr>
          <w:p w14:paraId="56C7C69F" w14:textId="77777777" w:rsidR="00F254A6" w:rsidRDefault="00F254A6" w:rsidP="00487EBC">
            <w:pPr>
              <w:jc w:val="left"/>
            </w:pPr>
          </w:p>
        </w:tc>
        <w:tc>
          <w:tcPr>
            <w:tcW w:w="3537" w:type="dxa"/>
            <w:vAlign w:val="center"/>
          </w:tcPr>
          <w:p w14:paraId="491BAF4F" w14:textId="18B0B5D1" w:rsidR="00F254A6" w:rsidRDefault="00F254A6" w:rsidP="00487EBC">
            <w:pPr>
              <w:jc w:val="left"/>
            </w:pPr>
            <w:r>
              <w:t>± 10 mm no máximo</w:t>
            </w:r>
          </w:p>
        </w:tc>
      </w:tr>
      <w:tr w:rsidR="00F254A6" w14:paraId="6E2FD35A" w14:textId="77777777" w:rsidTr="0043729E">
        <w:trPr>
          <w:trHeight w:val="869"/>
          <w:jc w:val="center"/>
        </w:trPr>
        <w:tc>
          <w:tcPr>
            <w:tcW w:w="1555" w:type="dxa"/>
            <w:vAlign w:val="center"/>
          </w:tcPr>
          <w:p w14:paraId="0FEAEDFA" w14:textId="6AA11937" w:rsidR="00F254A6" w:rsidRDefault="00F254A6" w:rsidP="00487EBC">
            <w:pPr>
              <w:jc w:val="left"/>
            </w:pPr>
            <w:r>
              <w:t>Nível superior das paredes</w:t>
            </w:r>
          </w:p>
        </w:tc>
        <w:tc>
          <w:tcPr>
            <w:tcW w:w="3402" w:type="dxa"/>
            <w:vAlign w:val="center"/>
          </w:tcPr>
          <w:p w14:paraId="42B83B34" w14:textId="431B7C4E" w:rsidR="00F254A6" w:rsidRDefault="00F254A6" w:rsidP="00487EBC">
            <w:pPr>
              <w:jc w:val="left"/>
            </w:pPr>
            <w:r>
              <w:t>Nivelamento da fiada de respaldo</w:t>
            </w:r>
          </w:p>
        </w:tc>
        <w:tc>
          <w:tcPr>
            <w:tcW w:w="3537" w:type="dxa"/>
            <w:vAlign w:val="center"/>
          </w:tcPr>
          <w:p w14:paraId="30C41A40" w14:textId="0EA1F2F6" w:rsidR="00F254A6" w:rsidRDefault="00F254A6" w:rsidP="00487EBC">
            <w:pPr>
              <w:jc w:val="left"/>
            </w:pPr>
            <w:r>
              <w:t>± 10 mm</w:t>
            </w:r>
          </w:p>
        </w:tc>
      </w:tr>
    </w:tbl>
    <w:p w14:paraId="262DD358" w14:textId="77777777" w:rsidR="004665A0" w:rsidRPr="00327899" w:rsidRDefault="004665A0" w:rsidP="00DE5F2D">
      <w:pPr>
        <w:spacing w:after="0"/>
      </w:pPr>
    </w:p>
    <w:p w14:paraId="1AAF8916" w14:textId="6BE6D491" w:rsidR="009E2D0D" w:rsidRPr="00DE5F2D" w:rsidRDefault="009E2D0D" w:rsidP="00CF7B48">
      <w:pPr>
        <w:pStyle w:val="Ttulo3"/>
        <w:rPr>
          <w:i w:val="0"/>
          <w:iCs/>
        </w:rPr>
      </w:pPr>
      <w:bookmarkStart w:id="54" w:name="_Ref186297205"/>
      <w:r w:rsidRPr="00DE5F2D">
        <w:rPr>
          <w:i w:val="0"/>
          <w:iCs/>
        </w:rPr>
        <w:t>Junta intermediária de regularização</w:t>
      </w:r>
      <w:bookmarkEnd w:id="54"/>
    </w:p>
    <w:p w14:paraId="40CEBD52" w14:textId="62FDEBFA" w:rsidR="00113EC1" w:rsidRPr="001446B5" w:rsidRDefault="00113EC1" w:rsidP="00113EC1">
      <w:r>
        <w:t>Em se tratando</w:t>
      </w:r>
      <w:r w:rsidRPr="00113EC1">
        <w:t xml:space="preserve"> de uma alvenaria produzida com composto polimérico e, consequentemente, de junta fina, as variações dimensionais nos blocos, ainda que dentro das </w:t>
      </w:r>
      <w:r w:rsidRPr="001446B5">
        <w:t>tolerâncias estabelecidas pela ABNT NBR 15270-1</w:t>
      </w:r>
      <w:r w:rsidR="00A836EC" w:rsidRPr="001446B5">
        <w:t xml:space="preserve"> e ABNT NBR 6136</w:t>
      </w:r>
      <w:r w:rsidRPr="001446B5">
        <w:t xml:space="preserve">, podem </w:t>
      </w:r>
      <w:r w:rsidR="0041571F" w:rsidRPr="001446B5">
        <w:t xml:space="preserve">durante a elevação da parede </w:t>
      </w:r>
      <w:r w:rsidRPr="001446B5">
        <w:t>progressivamente dificultar o controle geométrico prescrito no item</w:t>
      </w:r>
      <w:r w:rsidR="00C20A71" w:rsidRPr="001446B5">
        <w:t xml:space="preserve"> </w:t>
      </w:r>
      <w:r w:rsidR="00C20A71" w:rsidRPr="001446B5">
        <w:fldChar w:fldCharType="begin"/>
      </w:r>
      <w:r w:rsidR="00C20A71" w:rsidRPr="001446B5">
        <w:instrText xml:space="preserve"> REF _Ref186224007 \w \h </w:instrText>
      </w:r>
      <w:r w:rsidR="005E2544" w:rsidRPr="001446B5">
        <w:instrText xml:space="preserve"> \* MERGEFORMAT </w:instrText>
      </w:r>
      <w:r w:rsidR="00C20A71" w:rsidRPr="001446B5">
        <w:fldChar w:fldCharType="separate"/>
      </w:r>
      <w:r w:rsidR="00BB30C3" w:rsidRPr="001446B5">
        <w:t>9.</w:t>
      </w:r>
      <w:r w:rsidR="00882380" w:rsidRPr="001446B5">
        <w:t>3.1</w:t>
      </w:r>
      <w:r w:rsidR="00C20A71" w:rsidRPr="001446B5">
        <w:fldChar w:fldCharType="end"/>
      </w:r>
      <w:r w:rsidR="00C20A71" w:rsidRPr="001446B5">
        <w:t xml:space="preserve"> desta Norma</w:t>
      </w:r>
      <w:r w:rsidR="0041571F" w:rsidRPr="001446B5">
        <w:t>.</w:t>
      </w:r>
    </w:p>
    <w:p w14:paraId="5641B792" w14:textId="4640779E" w:rsidR="00113EC1" w:rsidRPr="00113EC1" w:rsidRDefault="00113EC1" w:rsidP="00113EC1">
      <w:r w:rsidRPr="001446B5">
        <w:t xml:space="preserve">Para corrigir possíveis desvios geométricos, </w:t>
      </w:r>
      <w:r w:rsidR="00CF12A8" w:rsidRPr="001446B5">
        <w:t xml:space="preserve">é </w:t>
      </w:r>
      <w:r w:rsidRPr="001446B5">
        <w:t>recomenda</w:t>
      </w:r>
      <w:r w:rsidR="00CF12A8" w:rsidRPr="001446B5">
        <w:t>da</w:t>
      </w:r>
      <w:r w:rsidRPr="001446B5">
        <w:t xml:space="preserve"> a execução de uma junta horizontal de regularização para assentamento de uma fiada intermediária</w:t>
      </w:r>
      <w:r w:rsidR="00163273" w:rsidRPr="001446B5">
        <w:t xml:space="preserve">, desde que </w:t>
      </w:r>
      <w:r w:rsidR="002A4114" w:rsidRPr="001446B5">
        <w:t>prevista em projeto</w:t>
      </w:r>
      <w:r w:rsidRPr="001446B5">
        <w:t>. Nesse caso, aproximadamente na metade da altura da parede, uma fiada intermediária deve ser assentada com argamassa cimentícia convencional</w:t>
      </w:r>
      <w:r w:rsidR="009E242A" w:rsidRPr="001446B5">
        <w:t xml:space="preserve"> </w:t>
      </w:r>
      <w:r w:rsidR="003605B2" w:rsidRPr="001446B5">
        <w:t>de mesma especificação da empregada na primeira fiada</w:t>
      </w:r>
      <w:r w:rsidRPr="001446B5">
        <w:t xml:space="preserve">, em estrito atendimento aos requisitos estabelecidos no item </w:t>
      </w:r>
      <w:r w:rsidR="00876DC2" w:rsidRPr="001446B5">
        <w:fldChar w:fldCharType="begin"/>
      </w:r>
      <w:r w:rsidR="00876DC2" w:rsidRPr="001446B5">
        <w:instrText xml:space="preserve"> REF _Ref186237541 \w \h </w:instrText>
      </w:r>
      <w:r w:rsidR="005E2544" w:rsidRPr="001446B5">
        <w:instrText xml:space="preserve"> \* MERGEFORMAT </w:instrText>
      </w:r>
      <w:r w:rsidR="00876DC2" w:rsidRPr="001446B5">
        <w:fldChar w:fldCharType="separate"/>
      </w:r>
      <w:r w:rsidR="00BB30C3" w:rsidRPr="001446B5">
        <w:t>9.2.1.2</w:t>
      </w:r>
      <w:r w:rsidR="00876DC2" w:rsidRPr="001446B5">
        <w:fldChar w:fldCharType="end"/>
      </w:r>
      <w:r w:rsidR="003605B2" w:rsidRPr="001446B5">
        <w:t>.</w:t>
      </w:r>
    </w:p>
    <w:p w14:paraId="2B29A312" w14:textId="69E59302" w:rsidR="00113EC1" w:rsidRDefault="004D06E5" w:rsidP="00983C18">
      <w:r>
        <w:t>Além disso, o</w:t>
      </w:r>
      <w:r w:rsidR="002E6C4A">
        <w:t xml:space="preserve">s seguintes requisitos devem ser </w:t>
      </w:r>
      <w:r w:rsidR="00674605">
        <w:t>satisfeitos:</w:t>
      </w:r>
    </w:p>
    <w:p w14:paraId="4B5FA63A" w14:textId="7C733BF9" w:rsidR="00AA501A" w:rsidRDefault="00863094" w:rsidP="000D6891">
      <w:pPr>
        <w:pStyle w:val="PargrafodaLista"/>
        <w:numPr>
          <w:ilvl w:val="0"/>
          <w:numId w:val="12"/>
        </w:numPr>
        <w:ind w:left="357" w:hanging="357"/>
      </w:pPr>
      <w:r>
        <w:t xml:space="preserve">essa fiada </w:t>
      </w:r>
      <w:r w:rsidR="00753C84">
        <w:t xml:space="preserve">constituída pela </w:t>
      </w:r>
      <w:r>
        <w:t>junta horizontal</w:t>
      </w:r>
      <w:r w:rsidR="009F15DB">
        <w:t xml:space="preserve"> de regularização</w:t>
      </w:r>
      <w:r>
        <w:t xml:space="preserve"> </w:t>
      </w:r>
      <w:r w:rsidR="00472D50">
        <w:t>obrigatoriamente</w:t>
      </w:r>
      <w:r>
        <w:t xml:space="preserve"> deve ser executada</w:t>
      </w:r>
      <w:r w:rsidR="009F15DB">
        <w:t xml:space="preserve"> </w:t>
      </w:r>
      <w:r w:rsidR="00816368">
        <w:t>entre os</w:t>
      </w:r>
      <w:r w:rsidR="003B3728">
        <w:t xml:space="preserve"> terços inferior e superior da altura total da parede</w:t>
      </w:r>
      <w:r w:rsidR="003F6310">
        <w:t>;</w:t>
      </w:r>
    </w:p>
    <w:p w14:paraId="7E524191" w14:textId="035DF825" w:rsidR="007E646A" w:rsidRDefault="00247D06" w:rsidP="000D6891">
      <w:pPr>
        <w:pStyle w:val="PargrafodaLista"/>
        <w:numPr>
          <w:ilvl w:val="0"/>
          <w:numId w:val="12"/>
        </w:numPr>
        <w:ind w:left="357" w:hanging="357"/>
      </w:pPr>
      <w:r>
        <w:t>a espessura dessa junta</w:t>
      </w:r>
      <w:r w:rsidR="00BF3052">
        <w:t xml:space="preserve"> intermediária de regularização horizontal</w:t>
      </w:r>
      <w:r>
        <w:t xml:space="preserve"> deve </w:t>
      </w:r>
      <w:r w:rsidR="008472EC">
        <w:t>ter entre</w:t>
      </w:r>
      <w:r w:rsidR="00FD6C9D">
        <w:br/>
      </w:r>
      <w:r w:rsidR="008472EC">
        <w:t>5 mm e 20 mm, tolerando-se até 30 mm em trechos de comprimento inferior</w:t>
      </w:r>
      <w:r w:rsidR="00D96419">
        <w:t xml:space="preserve"> a</w:t>
      </w:r>
      <w:r w:rsidR="007A7359">
        <w:br/>
      </w:r>
      <w:r w:rsidR="00D96419">
        <w:t>500 mm;</w:t>
      </w:r>
    </w:p>
    <w:p w14:paraId="338B3762" w14:textId="31F9F39B" w:rsidR="004D06E5" w:rsidRDefault="00BF3052" w:rsidP="000D6891">
      <w:pPr>
        <w:pStyle w:val="PargrafodaLista"/>
        <w:numPr>
          <w:ilvl w:val="0"/>
          <w:numId w:val="12"/>
        </w:numPr>
        <w:ind w:left="357" w:hanging="357"/>
      </w:pPr>
      <w:r>
        <w:t>as juntas verticais</w:t>
      </w:r>
      <w:r w:rsidR="00CF4694">
        <w:t xml:space="preserve"> devem possuir espessuras entre </w:t>
      </w:r>
      <w:r w:rsidR="00772A2F">
        <w:t>1,0</w:t>
      </w:r>
      <w:r w:rsidR="00CF4694">
        <w:t xml:space="preserve"> mm e 3,0 mm</w:t>
      </w:r>
      <w:r w:rsidR="00D47E32">
        <w:t xml:space="preserve">, </w:t>
      </w:r>
      <w:r w:rsidR="0055439B">
        <w:t xml:space="preserve">para </w:t>
      </w:r>
      <w:r w:rsidR="00D47E32">
        <w:t xml:space="preserve">as quais </w:t>
      </w:r>
      <w:r w:rsidR="00CE0A0A">
        <w:t xml:space="preserve">permite-se </w:t>
      </w:r>
      <w:r w:rsidR="00457DAD">
        <w:t xml:space="preserve">o assentamento dos blocos </w:t>
      </w:r>
      <w:r w:rsidR="00AA501A">
        <w:t>c</w:t>
      </w:r>
      <w:r w:rsidR="00CE0A0A">
        <w:t>om “juntas secas”, que</w:t>
      </w:r>
      <w:r w:rsidR="00AA501A">
        <w:t xml:space="preserve"> posteriormente</w:t>
      </w:r>
      <w:r w:rsidR="00CE0A0A">
        <w:t xml:space="preserve"> deverão ser preenchidas com a argamassa cimentícia ou o próprio composto polimérico;</w:t>
      </w:r>
    </w:p>
    <w:p w14:paraId="56532F89" w14:textId="66DC3934" w:rsidR="00617B05" w:rsidRDefault="00617B05" w:rsidP="000D6891">
      <w:pPr>
        <w:pStyle w:val="PargrafodaLista"/>
        <w:numPr>
          <w:ilvl w:val="0"/>
          <w:numId w:val="12"/>
        </w:numPr>
        <w:ind w:left="357" w:hanging="357"/>
      </w:pPr>
      <w:r>
        <w:lastRenderedPageBreak/>
        <w:t>é</w:t>
      </w:r>
      <w:r w:rsidR="00EC7B3F">
        <w:t xml:space="preserve"> recomendado que</w:t>
      </w:r>
      <w:r w:rsidR="004A62FD">
        <w:t xml:space="preserve"> </w:t>
      </w:r>
      <w:r w:rsidR="002A4114">
        <w:t>o projetista</w:t>
      </w:r>
      <w:r w:rsidR="002E4653">
        <w:t xml:space="preserve"> considere</w:t>
      </w:r>
      <w:r w:rsidR="004A62FD">
        <w:t xml:space="preserve"> </w:t>
      </w:r>
      <w:r w:rsidR="00163273">
        <w:t>essa</w:t>
      </w:r>
      <w:r w:rsidR="004A62FD">
        <w:t xml:space="preserve"> junta </w:t>
      </w:r>
      <w:r w:rsidR="00163273">
        <w:t>horizontal de regularização</w:t>
      </w:r>
      <w:r w:rsidR="002E4653">
        <w:t xml:space="preserve"> também</w:t>
      </w:r>
      <w:r w:rsidR="00163273">
        <w:t xml:space="preserve"> </w:t>
      </w:r>
      <w:r w:rsidR="002E4653">
        <w:t xml:space="preserve">como </w:t>
      </w:r>
      <w:r w:rsidR="00B5708F">
        <w:t>um instrumento</w:t>
      </w:r>
      <w:r w:rsidR="002E4653">
        <w:t xml:space="preserve"> </w:t>
      </w:r>
      <w:r w:rsidR="00B5708F">
        <w:t xml:space="preserve">para </w:t>
      </w:r>
      <w:r w:rsidR="009F24D5">
        <w:t>viabilizar uma modulação</w:t>
      </w:r>
      <w:r w:rsidR="007C71ED">
        <w:t xml:space="preserve"> mais ajustada e compatibilizada com outros componentes d</w:t>
      </w:r>
      <w:r w:rsidR="00C83B49">
        <w:t>o sistema, por exemplo, as portas e janelas.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4247"/>
      </w:tblGrid>
      <w:tr w:rsidR="004E78E5" w14:paraId="2BB08B07" w14:textId="77777777" w:rsidTr="004E78E5">
        <w:tc>
          <w:tcPr>
            <w:tcW w:w="4247" w:type="dxa"/>
            <w:vAlign w:val="center"/>
          </w:tcPr>
          <w:p w14:paraId="6CB10D19" w14:textId="1778D6D8" w:rsidR="004E78E5" w:rsidRDefault="003E42DA" w:rsidP="004E78E5">
            <w:pPr>
              <w:pStyle w:val="Legenda"/>
              <w:jc w:val="center"/>
              <w:rPr>
                <w:b/>
                <w:bCs/>
                <w:i w:val="0"/>
                <w:iCs w:val="0"/>
                <w:color w:val="000000" w:themeColor="text1"/>
                <w:sz w:val="22"/>
                <w:szCs w:val="22"/>
              </w:rPr>
            </w:pPr>
            <w:r w:rsidRPr="003E42DA">
              <w:rPr>
                <w:b/>
                <w:bCs/>
                <w:i w:val="0"/>
                <w:iCs w:val="0"/>
                <w:noProof/>
                <w:color w:val="000000" w:themeColor="text1"/>
                <w:sz w:val="22"/>
                <w:szCs w:val="22"/>
              </w:rPr>
              <w:drawing>
                <wp:inline distT="0" distB="0" distL="0" distR="0" wp14:anchorId="11D6CCE0" wp14:editId="5F0CE51F">
                  <wp:extent cx="2719490" cy="2463800"/>
                  <wp:effectExtent l="0" t="0" r="5080" b="0"/>
                  <wp:docPr id="6106504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50487" name=""/>
                          <pic:cNvPicPr/>
                        </pic:nvPicPr>
                        <pic:blipFill>
                          <a:blip r:embed="rId14"/>
                          <a:stretch>
                            <a:fillRect/>
                          </a:stretch>
                        </pic:blipFill>
                        <pic:spPr>
                          <a:xfrm>
                            <a:off x="0" y="0"/>
                            <a:ext cx="2721930" cy="2466011"/>
                          </a:xfrm>
                          <a:prstGeom prst="rect">
                            <a:avLst/>
                          </a:prstGeom>
                        </pic:spPr>
                      </pic:pic>
                    </a:graphicData>
                  </a:graphic>
                </wp:inline>
              </w:drawing>
            </w:r>
          </w:p>
        </w:tc>
        <w:tc>
          <w:tcPr>
            <w:tcW w:w="4247" w:type="dxa"/>
          </w:tcPr>
          <w:p w14:paraId="5F506E9E" w14:textId="5183937E" w:rsidR="004E78E5" w:rsidRDefault="004E78E5" w:rsidP="00FD6C9D">
            <w:pPr>
              <w:pStyle w:val="Legenda"/>
              <w:jc w:val="center"/>
              <w:rPr>
                <w:b/>
                <w:bCs/>
                <w:i w:val="0"/>
                <w:iCs w:val="0"/>
                <w:color w:val="000000" w:themeColor="text1"/>
                <w:sz w:val="22"/>
                <w:szCs w:val="22"/>
              </w:rPr>
            </w:pPr>
            <w:r w:rsidRPr="004E78E5">
              <w:rPr>
                <w:b/>
                <w:bCs/>
                <w:i w:val="0"/>
                <w:iCs w:val="0"/>
                <w:noProof/>
                <w:color w:val="000000" w:themeColor="text1"/>
                <w:sz w:val="22"/>
                <w:szCs w:val="22"/>
              </w:rPr>
              <w:drawing>
                <wp:inline distT="0" distB="0" distL="0" distR="0" wp14:anchorId="3FBE25C3" wp14:editId="19A3CFF7">
                  <wp:extent cx="2562767" cy="2660650"/>
                  <wp:effectExtent l="0" t="0" r="9525" b="6350"/>
                  <wp:docPr id="18797569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56933" name=""/>
                          <pic:cNvPicPr/>
                        </pic:nvPicPr>
                        <pic:blipFill>
                          <a:blip r:embed="rId15"/>
                          <a:stretch>
                            <a:fillRect/>
                          </a:stretch>
                        </pic:blipFill>
                        <pic:spPr>
                          <a:xfrm>
                            <a:off x="0" y="0"/>
                            <a:ext cx="2562767" cy="2660650"/>
                          </a:xfrm>
                          <a:prstGeom prst="rect">
                            <a:avLst/>
                          </a:prstGeom>
                        </pic:spPr>
                      </pic:pic>
                    </a:graphicData>
                  </a:graphic>
                </wp:inline>
              </w:drawing>
            </w:r>
          </w:p>
        </w:tc>
      </w:tr>
      <w:tr w:rsidR="004E78E5" w14:paraId="0697FB1B" w14:textId="77777777" w:rsidTr="004E78E5">
        <w:tc>
          <w:tcPr>
            <w:tcW w:w="4247" w:type="dxa"/>
          </w:tcPr>
          <w:p w14:paraId="2ED2470A" w14:textId="6326F18E" w:rsidR="004E78E5" w:rsidRPr="004E78E5" w:rsidRDefault="004E78E5" w:rsidP="00FD6C9D">
            <w:pPr>
              <w:pStyle w:val="Legenda"/>
              <w:jc w:val="center"/>
              <w:rPr>
                <w:i w:val="0"/>
                <w:iCs w:val="0"/>
                <w:color w:val="000000" w:themeColor="text1"/>
                <w:sz w:val="22"/>
                <w:szCs w:val="22"/>
              </w:rPr>
            </w:pPr>
            <w:r w:rsidRPr="004E78E5">
              <w:rPr>
                <w:i w:val="0"/>
                <w:iCs w:val="0"/>
                <w:color w:val="000000" w:themeColor="text1"/>
                <w:sz w:val="22"/>
                <w:szCs w:val="22"/>
              </w:rPr>
              <w:t>(a</w:t>
            </w:r>
          </w:p>
        </w:tc>
        <w:tc>
          <w:tcPr>
            <w:tcW w:w="4247" w:type="dxa"/>
          </w:tcPr>
          <w:p w14:paraId="53FC06A6" w14:textId="680DB1B8" w:rsidR="004E78E5" w:rsidRPr="004E78E5" w:rsidRDefault="004E78E5" w:rsidP="00FD6C9D">
            <w:pPr>
              <w:pStyle w:val="Legenda"/>
              <w:jc w:val="center"/>
              <w:rPr>
                <w:i w:val="0"/>
                <w:iCs w:val="0"/>
                <w:color w:val="000000" w:themeColor="text1"/>
                <w:sz w:val="22"/>
                <w:szCs w:val="22"/>
              </w:rPr>
            </w:pPr>
            <w:r w:rsidRPr="004E78E5">
              <w:rPr>
                <w:i w:val="0"/>
                <w:iCs w:val="0"/>
                <w:color w:val="000000" w:themeColor="text1"/>
                <w:sz w:val="22"/>
                <w:szCs w:val="22"/>
              </w:rPr>
              <w:t>(b</w:t>
            </w:r>
          </w:p>
        </w:tc>
      </w:tr>
    </w:tbl>
    <w:p w14:paraId="3DE86C02" w14:textId="7D3650DB" w:rsidR="00FD6C9D" w:rsidRPr="004313A2" w:rsidRDefault="00FD6C9D" w:rsidP="00FD6C9D">
      <w:pPr>
        <w:pStyle w:val="Legenda"/>
        <w:jc w:val="center"/>
        <w:rPr>
          <w:b/>
          <w:bCs/>
          <w:i w:val="0"/>
          <w:iCs w:val="0"/>
          <w:color w:val="000000" w:themeColor="text1"/>
          <w:sz w:val="22"/>
          <w:szCs w:val="22"/>
        </w:rPr>
      </w:pPr>
      <w:r w:rsidRPr="004313A2">
        <w:rPr>
          <w:b/>
          <w:bCs/>
          <w:i w:val="0"/>
          <w:iCs w:val="0"/>
          <w:color w:val="000000" w:themeColor="text1"/>
          <w:sz w:val="22"/>
          <w:szCs w:val="22"/>
        </w:rPr>
        <w:t xml:space="preserve">Figura </w:t>
      </w:r>
      <w:r w:rsidRPr="004313A2">
        <w:rPr>
          <w:b/>
          <w:bCs/>
          <w:i w:val="0"/>
          <w:iCs w:val="0"/>
          <w:color w:val="000000" w:themeColor="text1"/>
          <w:sz w:val="22"/>
          <w:szCs w:val="22"/>
        </w:rPr>
        <w:fldChar w:fldCharType="begin"/>
      </w:r>
      <w:r w:rsidRPr="004313A2">
        <w:rPr>
          <w:b/>
          <w:bCs/>
          <w:i w:val="0"/>
          <w:iCs w:val="0"/>
          <w:color w:val="000000" w:themeColor="text1"/>
          <w:sz w:val="22"/>
          <w:szCs w:val="22"/>
        </w:rPr>
        <w:instrText xml:space="preserve"> SEQ Figura \* ARABIC </w:instrText>
      </w:r>
      <w:r w:rsidRPr="004313A2">
        <w:rPr>
          <w:b/>
          <w:bCs/>
          <w:i w:val="0"/>
          <w:iCs w:val="0"/>
          <w:color w:val="000000" w:themeColor="text1"/>
          <w:sz w:val="22"/>
          <w:szCs w:val="22"/>
        </w:rPr>
        <w:fldChar w:fldCharType="separate"/>
      </w:r>
      <w:r w:rsidR="00BB30C3">
        <w:rPr>
          <w:b/>
          <w:bCs/>
          <w:i w:val="0"/>
          <w:iCs w:val="0"/>
          <w:noProof/>
          <w:color w:val="000000" w:themeColor="text1"/>
          <w:sz w:val="22"/>
          <w:szCs w:val="22"/>
        </w:rPr>
        <w:t>6</w:t>
      </w:r>
      <w:r w:rsidRPr="004313A2">
        <w:rPr>
          <w:b/>
          <w:bCs/>
          <w:i w:val="0"/>
          <w:iCs w:val="0"/>
          <w:color w:val="000000" w:themeColor="text1"/>
          <w:sz w:val="22"/>
          <w:szCs w:val="22"/>
        </w:rPr>
        <w:fldChar w:fldCharType="end"/>
      </w:r>
      <w:r w:rsidRPr="004313A2">
        <w:rPr>
          <w:b/>
          <w:bCs/>
          <w:i w:val="0"/>
          <w:iCs w:val="0"/>
          <w:color w:val="000000" w:themeColor="text1"/>
          <w:sz w:val="22"/>
          <w:szCs w:val="22"/>
        </w:rPr>
        <w:t xml:space="preserve"> —</w:t>
      </w:r>
      <w:r>
        <w:rPr>
          <w:b/>
          <w:bCs/>
          <w:i w:val="0"/>
          <w:iCs w:val="0"/>
          <w:color w:val="000000" w:themeColor="text1"/>
          <w:sz w:val="22"/>
          <w:szCs w:val="22"/>
        </w:rPr>
        <w:t xml:space="preserve"> </w:t>
      </w:r>
      <w:r w:rsidR="004E78E5">
        <w:rPr>
          <w:b/>
          <w:bCs/>
          <w:i w:val="0"/>
          <w:iCs w:val="0"/>
          <w:color w:val="000000" w:themeColor="text1"/>
          <w:sz w:val="22"/>
          <w:szCs w:val="22"/>
        </w:rPr>
        <w:t xml:space="preserve">Espessura das juntas verticais de assentamento (b) e representação da junta de assentamento intermediária de regularização horizontal </w:t>
      </w:r>
    </w:p>
    <w:p w14:paraId="4AE13CDB" w14:textId="77777777" w:rsidR="00FD6C9D" w:rsidRPr="00BE0BB4" w:rsidRDefault="00FD6C9D" w:rsidP="002406CB">
      <w:pPr>
        <w:spacing w:after="0"/>
      </w:pPr>
    </w:p>
    <w:p w14:paraId="405CBCD6" w14:textId="18CEFB7F" w:rsidR="008D3F48" w:rsidRPr="00EA5AB8" w:rsidRDefault="00172A50" w:rsidP="00CF7B48">
      <w:pPr>
        <w:pStyle w:val="Ttulo2"/>
      </w:pPr>
      <w:bookmarkStart w:id="55" w:name="_Ref186293043"/>
      <w:r w:rsidRPr="00EA5AB8">
        <w:t>Vigas, contravergas</w:t>
      </w:r>
      <w:r w:rsidR="009823F4" w:rsidRPr="00EA5AB8">
        <w:t xml:space="preserve"> e</w:t>
      </w:r>
      <w:r w:rsidRPr="00EA5AB8">
        <w:t xml:space="preserve"> cintas</w:t>
      </w:r>
      <w:bookmarkEnd w:id="55"/>
    </w:p>
    <w:p w14:paraId="2BFED0BB" w14:textId="5206AF62" w:rsidR="00006781" w:rsidRPr="002406CB" w:rsidRDefault="00006781" w:rsidP="009823F4">
      <w:r w:rsidRPr="002406CB">
        <w:t>As contravergas em vãos de janela</w:t>
      </w:r>
      <w:r w:rsidR="007045D4" w:rsidRPr="002406CB">
        <w:t>s</w:t>
      </w:r>
      <w:r w:rsidRPr="002406CB">
        <w:t xml:space="preserve"> e as vergas sobre vãos de porta</w:t>
      </w:r>
      <w:r w:rsidR="007045D4" w:rsidRPr="002406CB">
        <w:t>s</w:t>
      </w:r>
      <w:r w:rsidRPr="002406CB">
        <w:t xml:space="preserve"> e janela</w:t>
      </w:r>
      <w:r w:rsidR="007045D4" w:rsidRPr="002406CB">
        <w:t>s</w:t>
      </w:r>
      <w:r w:rsidRPr="002406CB">
        <w:t xml:space="preserve"> podem ser executadas com canaletas preenchidas com graute e armadura, peças moldadas no local ou peças pré-moldadas, conforme especificado no projeto.</w:t>
      </w:r>
    </w:p>
    <w:p w14:paraId="7CD6071B" w14:textId="36A4B652" w:rsidR="00BA335E" w:rsidRPr="002406CB" w:rsidRDefault="00006781" w:rsidP="009823F4">
      <w:r w:rsidRPr="002406CB">
        <w:t>Em cada pavimento, na fiada de respaldo, deve ser executada uma cinta contínua, solidarizando todas as paredes. Esta cinta pode ser executada com blocos canaleta, ou com formas. Em todas as situações, deve-se assegurar o completo preenchimento da cinta. O grauteamento dessa cinta deve preceder a montagem das formas de laje, exceto se for assegurada a não movimentação dos blocos de canaletas assentados, durante todas as etapas do processo de produção.</w:t>
      </w:r>
    </w:p>
    <w:p w14:paraId="67F33B08" w14:textId="77777777" w:rsidR="00BA335E" w:rsidRDefault="00BA335E">
      <w:pPr>
        <w:spacing w:line="240" w:lineRule="auto"/>
        <w:jc w:val="left"/>
      </w:pPr>
      <w:r>
        <w:br w:type="page"/>
      </w:r>
    </w:p>
    <w:p w14:paraId="19F325B6" w14:textId="6BF22566" w:rsidR="00172A50" w:rsidRPr="00EA5AB8" w:rsidRDefault="00172A50" w:rsidP="003F49E1">
      <w:pPr>
        <w:pStyle w:val="Ttulo2"/>
      </w:pPr>
      <w:r w:rsidRPr="00EA5AB8">
        <w:lastRenderedPageBreak/>
        <w:t>Armaduras</w:t>
      </w:r>
    </w:p>
    <w:p w14:paraId="2FBA589A" w14:textId="77777777" w:rsidR="00E22463" w:rsidRDefault="00E22463" w:rsidP="00E22463">
      <w:r>
        <w:t>As armaduras devem ser colocadas de tal forma que se mantenham na posição especificada durante o grauteamento para garantir o cobrimento especificado em projeto.</w:t>
      </w:r>
    </w:p>
    <w:p w14:paraId="1AE5DA19" w14:textId="7ACC20AA" w:rsidR="00E22463" w:rsidRDefault="00E22463" w:rsidP="00E22463">
      <w:r>
        <w:t xml:space="preserve">É admitido um erro máximo no posicionamento das armaduras igual a 10 </w:t>
      </w:r>
      <w:r w:rsidR="001D1AFE">
        <w:t>m</w:t>
      </w:r>
      <w:r>
        <w:t>m. Em caso de ocorrência de erros maiores, deve-se informar o projetista da estrutura, que deve revisar os cálculos.</w:t>
      </w:r>
    </w:p>
    <w:p w14:paraId="62B23A1E" w14:textId="70E902A6" w:rsidR="00E22463" w:rsidRPr="00E22463" w:rsidRDefault="00E22463" w:rsidP="00E22463">
      <w:r>
        <w:t>Em nenhum caso é permitido o contato de metais de naturezas diferentes.</w:t>
      </w:r>
    </w:p>
    <w:p w14:paraId="449E3606" w14:textId="351D1638" w:rsidR="00172A50" w:rsidRPr="00EA5AB8" w:rsidRDefault="00172A50" w:rsidP="003F49E1">
      <w:pPr>
        <w:pStyle w:val="Ttulo2"/>
      </w:pPr>
      <w:bookmarkStart w:id="56" w:name="_Ref186194738"/>
      <w:r w:rsidRPr="00EA5AB8">
        <w:t>Grauteamento</w:t>
      </w:r>
      <w:bookmarkEnd w:id="56"/>
    </w:p>
    <w:p w14:paraId="6FBD39CB" w14:textId="5D402640" w:rsidR="005B7374" w:rsidRDefault="00766CE2" w:rsidP="001D1AFE">
      <w:r>
        <w:t>A</w:t>
      </w:r>
      <w:r w:rsidR="001D1AFE">
        <w:t xml:space="preserve"> operação de grauteamento deve </w:t>
      </w:r>
      <w:r w:rsidR="008F497E">
        <w:t>observar</w:t>
      </w:r>
      <w:r w:rsidR="001D1AFE">
        <w:t xml:space="preserve"> </w:t>
      </w:r>
      <w:r w:rsidR="005B7374">
        <w:t>o estabelecido na ABNT NBR 16868-2</w:t>
      </w:r>
      <w:r w:rsidR="00514012">
        <w:t xml:space="preserve">, exceto pelo </w:t>
      </w:r>
      <w:r w:rsidR="00514012" w:rsidRPr="005C1607">
        <w:t>indicado em 9</w:t>
      </w:r>
      <w:r w:rsidR="00C329CE" w:rsidRPr="005C1607">
        <w:t>.3.4</w:t>
      </w:r>
      <w:r w:rsidR="005B7374" w:rsidRPr="005C1607">
        <w:t>.</w:t>
      </w:r>
    </w:p>
    <w:p w14:paraId="5E29C699" w14:textId="21114C2A" w:rsidR="009A3C8E" w:rsidRPr="00AD2AC3" w:rsidRDefault="009A3C8E" w:rsidP="00F72EAE">
      <w:pPr>
        <w:pStyle w:val="Ttulo2"/>
        <w:rPr>
          <w:sz w:val="24"/>
          <w:szCs w:val="24"/>
        </w:rPr>
      </w:pPr>
      <w:bookmarkStart w:id="57" w:name="_Ref186195504"/>
      <w:r w:rsidRPr="00AD2AC3">
        <w:rPr>
          <w:sz w:val="24"/>
          <w:szCs w:val="24"/>
        </w:rPr>
        <w:t>Inspeção</w:t>
      </w:r>
      <w:r w:rsidR="002555C1" w:rsidRPr="00AD2AC3">
        <w:rPr>
          <w:sz w:val="24"/>
          <w:szCs w:val="24"/>
        </w:rPr>
        <w:t xml:space="preserve"> e </w:t>
      </w:r>
      <w:r w:rsidR="001534CA" w:rsidRPr="00AD2AC3">
        <w:rPr>
          <w:sz w:val="24"/>
          <w:szCs w:val="24"/>
        </w:rPr>
        <w:t>aceitação</w:t>
      </w:r>
      <w:r w:rsidR="00DD22C1" w:rsidRPr="00AD2AC3">
        <w:rPr>
          <w:sz w:val="24"/>
          <w:szCs w:val="24"/>
        </w:rPr>
        <w:t xml:space="preserve"> da alvenaria, no todo ou em parte</w:t>
      </w:r>
      <w:bookmarkEnd w:id="57"/>
    </w:p>
    <w:p w14:paraId="32EFEB2A" w14:textId="6A52668B" w:rsidR="0062676F" w:rsidRPr="00694EED" w:rsidRDefault="0062676F" w:rsidP="00297EB6">
      <w:r w:rsidRPr="00CF0EE9">
        <w:t>Para a alvenaria ser aceita, no todo ou em parte, devem ser atendidos os requisitos de</w:t>
      </w:r>
      <w:r w:rsidR="0040711E" w:rsidRPr="00CF0EE9">
        <w:t xml:space="preserve">finidos </w:t>
      </w:r>
      <w:r w:rsidR="00C329CE" w:rsidRPr="005C1607">
        <w:t>na Tabela 1</w:t>
      </w:r>
      <w:r w:rsidR="006E47CC" w:rsidRPr="005C1607">
        <w:t>, nos quais incluem-se os limites</w:t>
      </w:r>
      <w:r w:rsidR="008923BA" w:rsidRPr="005C1607">
        <w:t xml:space="preserve"> para eventuais desvios</w:t>
      </w:r>
      <w:r w:rsidR="00922A0F" w:rsidRPr="005C1607">
        <w:t xml:space="preserve"> geométricos e não conformidades construtivas</w:t>
      </w:r>
      <w:r w:rsidR="00CF0EE9">
        <w:t>. Se qualquer um</w:t>
      </w:r>
      <w:r w:rsidR="00C63E26">
        <w:t xml:space="preserve"> desses itens não for atendido, no todo ou em parte</w:t>
      </w:r>
      <w:r w:rsidR="00E704A7">
        <w:t xml:space="preserve">, a alvenaria deverá ser submetida a uma nova avaliação, </w:t>
      </w:r>
      <w:r w:rsidR="00F708C5">
        <w:t xml:space="preserve">com </w:t>
      </w:r>
      <w:r w:rsidRPr="00694EED">
        <w:t>revisão do projeto para determinar se a estrutura, no todo ou em parte, pode ser considerada aceita, observando os valores obtidos nos ensaios</w:t>
      </w:r>
      <w:r w:rsidR="00F708C5">
        <w:t>.</w:t>
      </w:r>
    </w:p>
    <w:p w14:paraId="78E47E39" w14:textId="05211FFB" w:rsidR="0062676F" w:rsidRPr="007A7153" w:rsidRDefault="0062676F" w:rsidP="0062676F">
      <w:r w:rsidRPr="007A7153">
        <w:t xml:space="preserve">No caso </w:t>
      </w:r>
      <w:r w:rsidR="0017643D" w:rsidRPr="007A7153">
        <w:t>de a</w:t>
      </w:r>
      <w:r w:rsidRPr="007A7153">
        <w:t xml:space="preserve"> alvenaria não ser aceita</w:t>
      </w:r>
      <w:r w:rsidR="00EA3585" w:rsidRPr="007A7153">
        <w:t xml:space="preserve">, </w:t>
      </w:r>
      <w:r w:rsidRPr="007A7153">
        <w:t>deve-se adotar uma das seguintes ações:</w:t>
      </w:r>
    </w:p>
    <w:p w14:paraId="234BE99F" w14:textId="77777777" w:rsidR="00EA3585" w:rsidRPr="007A7153" w:rsidRDefault="0062676F" w:rsidP="000D6891">
      <w:pPr>
        <w:pStyle w:val="PargrafodaLista"/>
        <w:numPr>
          <w:ilvl w:val="0"/>
          <w:numId w:val="8"/>
        </w:numPr>
      </w:pPr>
      <w:r w:rsidRPr="007A7153">
        <w:t>providenciar o reforço da estrutura;</w:t>
      </w:r>
    </w:p>
    <w:p w14:paraId="665408B7" w14:textId="77777777" w:rsidR="00EA3585" w:rsidRPr="007A7153" w:rsidRDefault="0062676F" w:rsidP="000D6891">
      <w:pPr>
        <w:pStyle w:val="PargrafodaLista"/>
        <w:numPr>
          <w:ilvl w:val="0"/>
          <w:numId w:val="8"/>
        </w:numPr>
      </w:pPr>
      <w:r w:rsidRPr="007A7153">
        <w:t>determinar</w:t>
      </w:r>
      <w:r w:rsidR="00EA3585" w:rsidRPr="007A7153">
        <w:t xml:space="preserve"> </w:t>
      </w:r>
      <w:r w:rsidRPr="007A7153">
        <w:t>as restrições de uso da estrutura;</w:t>
      </w:r>
    </w:p>
    <w:p w14:paraId="70CB4F1C" w14:textId="2541BF49" w:rsidR="0062676F" w:rsidRPr="007A7153" w:rsidRDefault="0062676F" w:rsidP="000D6891">
      <w:pPr>
        <w:pStyle w:val="PargrafodaLista"/>
        <w:numPr>
          <w:ilvl w:val="0"/>
          <w:numId w:val="8"/>
        </w:numPr>
      </w:pPr>
      <w:r w:rsidRPr="007A7153">
        <w:t>decidir pela demolição parcial ou total.</w:t>
      </w:r>
    </w:p>
    <w:p w14:paraId="56CE9675" w14:textId="454F5D2E" w:rsidR="00B3571D" w:rsidRPr="00D1722A" w:rsidRDefault="0062676F" w:rsidP="00BA335E">
      <w:r w:rsidRPr="007A7153">
        <w:t>Decidindo-se pela restrição de uso da estrutura, esta informação deve constar nos documentos entregues aos usuários da edificação, tais como os projetos “como construído” e o manual de uso, operação e manutenção da edificação.</w:t>
      </w:r>
    </w:p>
    <w:sectPr w:rsidR="00B3571D" w:rsidRPr="00D1722A" w:rsidSect="00CD61E6">
      <w:headerReference w:type="default" r:id="rId16"/>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E41F" w14:textId="77777777" w:rsidR="00EF5DF7" w:rsidRDefault="00EF5DF7" w:rsidP="00140AE7">
      <w:r>
        <w:separator/>
      </w:r>
    </w:p>
  </w:endnote>
  <w:endnote w:type="continuationSeparator" w:id="0">
    <w:p w14:paraId="48EBD926" w14:textId="77777777" w:rsidR="00EF5DF7" w:rsidRDefault="00EF5DF7" w:rsidP="0014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iro">
    <w:altName w:val="Arial"/>
    <w:charset w:val="00"/>
    <w:family w:val="auto"/>
    <w:pitch w:val="variable"/>
    <w:sig w:usb0="A00020AF" w:usb1="9000204B" w:usb2="00000008" w:usb3="00000000" w:csb0="000000D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D486" w14:textId="77777777" w:rsidR="00EF5DF7" w:rsidRDefault="00EF5DF7" w:rsidP="00140AE7">
      <w:r>
        <w:separator/>
      </w:r>
    </w:p>
  </w:footnote>
  <w:footnote w:type="continuationSeparator" w:id="0">
    <w:p w14:paraId="61318EEB" w14:textId="77777777" w:rsidR="00EF5DF7" w:rsidRDefault="00EF5DF7" w:rsidP="00140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jc w:val="center"/>
      <w:tblLook w:val="01E0" w:firstRow="1" w:lastRow="1" w:firstColumn="1" w:lastColumn="1" w:noHBand="0" w:noVBand="0"/>
    </w:tblPr>
    <w:tblGrid>
      <w:gridCol w:w="1116"/>
      <w:gridCol w:w="9145"/>
    </w:tblGrid>
    <w:tr w:rsidR="003900B2" w:rsidRPr="005B0EC5" w14:paraId="1EAD1EC7" w14:textId="77777777" w:rsidTr="00E735C1">
      <w:trPr>
        <w:trHeight w:val="960"/>
        <w:jc w:val="center"/>
      </w:trPr>
      <w:tc>
        <w:tcPr>
          <w:tcW w:w="1116" w:type="dxa"/>
          <w:vAlign w:val="center"/>
        </w:tcPr>
        <w:p w14:paraId="77DD0F55" w14:textId="77777777" w:rsidR="003900B2" w:rsidRPr="005B0EC5" w:rsidRDefault="003900B2" w:rsidP="003900B2">
          <w:pPr>
            <w:tabs>
              <w:tab w:val="center" w:pos="4419"/>
              <w:tab w:val="right" w:pos="8838"/>
            </w:tabs>
            <w:jc w:val="center"/>
            <w:rPr>
              <w:rFonts w:eastAsia="Times New Roman"/>
              <w:b/>
              <w:caps/>
              <w:lang w:eastAsia="pt-BR"/>
            </w:rPr>
          </w:pPr>
          <w:r w:rsidRPr="00F6555B">
            <w:rPr>
              <w:rFonts w:eastAsia="Times New Roman"/>
              <w:b/>
              <w:caps/>
              <w:noProof/>
              <w:lang w:val="en-US"/>
            </w:rPr>
            <w:drawing>
              <wp:inline distT="0" distB="0" distL="0" distR="0" wp14:anchorId="72827834" wp14:editId="124A60C6">
                <wp:extent cx="564515" cy="591820"/>
                <wp:effectExtent l="0" t="0" r="6985" b="0"/>
                <wp:docPr id="1501352992" name="Imagem 61" descr="logo_bola_reduzido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descr="logo_bola_reduzido_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515" cy="591820"/>
                        </a:xfrm>
                        <a:prstGeom prst="rect">
                          <a:avLst/>
                        </a:prstGeom>
                        <a:noFill/>
                        <a:ln>
                          <a:noFill/>
                        </a:ln>
                      </pic:spPr>
                    </pic:pic>
                  </a:graphicData>
                </a:graphic>
              </wp:inline>
            </w:drawing>
          </w:r>
        </w:p>
      </w:tc>
      <w:tc>
        <w:tcPr>
          <w:tcW w:w="9145" w:type="dxa"/>
          <w:tcBorders>
            <w:top w:val="single" w:sz="12" w:space="0" w:color="auto"/>
            <w:bottom w:val="single" w:sz="12" w:space="0" w:color="auto"/>
          </w:tcBorders>
          <w:vAlign w:val="center"/>
        </w:tcPr>
        <w:p w14:paraId="76A2225E" w14:textId="77777777" w:rsidR="003900B2" w:rsidRPr="00972CA0" w:rsidRDefault="003900B2" w:rsidP="003900B2">
          <w:pPr>
            <w:tabs>
              <w:tab w:val="center" w:pos="4419"/>
              <w:tab w:val="right" w:pos="8838"/>
            </w:tabs>
            <w:spacing w:after="60"/>
            <w:jc w:val="center"/>
            <w:rPr>
              <w:rFonts w:eastAsia="Times New Roman"/>
              <w:b/>
              <w:caps/>
              <w:lang w:eastAsia="en-CA"/>
            </w:rPr>
          </w:pPr>
          <w:r w:rsidRPr="00972CA0">
            <w:rPr>
              <w:rFonts w:eastAsia="Times New Roman"/>
              <w:b/>
              <w:caps/>
              <w:lang w:eastAsia="en-CA"/>
            </w:rPr>
            <w:t>ABNT/Cb-002</w:t>
          </w:r>
        </w:p>
        <w:p w14:paraId="450D5EF8" w14:textId="19FA1858" w:rsidR="003900B2" w:rsidRPr="008306AC" w:rsidRDefault="003900B2" w:rsidP="003900B2">
          <w:pPr>
            <w:tabs>
              <w:tab w:val="center" w:pos="4419"/>
              <w:tab w:val="right" w:pos="8838"/>
            </w:tabs>
            <w:spacing w:after="60"/>
            <w:jc w:val="center"/>
            <w:rPr>
              <w:rFonts w:eastAsia="Times New Roman"/>
              <w:b/>
              <w:caps/>
              <w:lang w:eastAsia="en-CA"/>
            </w:rPr>
          </w:pPr>
          <w:r>
            <w:rPr>
              <w:rFonts w:eastAsia="Times New Roman"/>
              <w:b/>
              <w:caps/>
              <w:lang w:eastAsia="en-CA"/>
            </w:rPr>
            <w:t xml:space="preserve">TEXTO-BASE </w:t>
          </w:r>
          <w:r w:rsidRPr="00185AF4">
            <w:rPr>
              <w:rFonts w:eastAsia="Times New Roman"/>
              <w:b/>
              <w:caps/>
              <w:lang w:eastAsia="en-CA"/>
            </w:rPr>
            <w:t>002:123.010-002</w:t>
          </w:r>
          <w:r>
            <w:rPr>
              <w:rFonts w:eastAsia="Times New Roman"/>
              <w:b/>
              <w:caps/>
              <w:lang w:eastAsia="en-CA"/>
            </w:rPr>
            <w:t>-2</w:t>
          </w:r>
        </w:p>
        <w:p w14:paraId="2D011C72" w14:textId="054E8754" w:rsidR="003900B2" w:rsidRPr="00ED30F6" w:rsidRDefault="00A945AC" w:rsidP="003900B2">
          <w:pPr>
            <w:tabs>
              <w:tab w:val="center" w:pos="4419"/>
              <w:tab w:val="right" w:pos="8838"/>
            </w:tabs>
            <w:jc w:val="center"/>
            <w:rPr>
              <w:rFonts w:eastAsia="Times New Roman"/>
              <w:b/>
              <w:caps/>
              <w:lang w:eastAsia="pt-BR"/>
            </w:rPr>
          </w:pPr>
          <w:r>
            <w:rPr>
              <w:rFonts w:eastAsia="Times New Roman"/>
              <w:b/>
              <w:caps/>
              <w:lang w:eastAsia="pt-BR"/>
            </w:rPr>
            <w:t>jun</w:t>
          </w:r>
          <w:r w:rsidR="003900B2" w:rsidRPr="00ED30F6">
            <w:rPr>
              <w:rFonts w:eastAsia="Times New Roman"/>
              <w:b/>
              <w:caps/>
              <w:lang w:eastAsia="pt-BR"/>
            </w:rPr>
            <w:t xml:space="preserve"> 202</w:t>
          </w:r>
          <w:r w:rsidR="003900B2">
            <w:rPr>
              <w:rFonts w:eastAsia="Times New Roman"/>
              <w:b/>
              <w:caps/>
              <w:lang w:eastAsia="pt-BR"/>
            </w:rPr>
            <w:t>5</w:t>
          </w:r>
        </w:p>
      </w:tc>
    </w:tr>
  </w:tbl>
  <w:p w14:paraId="1C95FEC6" w14:textId="3F19307E" w:rsidR="006F4775" w:rsidRDefault="002406CB" w:rsidP="00140AE7">
    <w:pPr>
      <w:pStyle w:val="Cabealho"/>
    </w:pPr>
    <w:sdt>
      <w:sdtPr>
        <w:id w:val="2028980986"/>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7FE"/>
    <w:multiLevelType w:val="hybridMultilevel"/>
    <w:tmpl w:val="5C4E8B6E"/>
    <w:lvl w:ilvl="0" w:tplc="E0EA0FDA">
      <w:start w:val="1"/>
      <w:numFmt w:val="bullet"/>
      <w:lvlText w:val=""/>
      <w:lvlJc w:val="left"/>
      <w:pPr>
        <w:ind w:left="720" w:hanging="360"/>
      </w:pPr>
      <w:rPr>
        <w:rFonts w:ascii="Symbol" w:hAnsi="Symbol" w:hint="default"/>
        <w:color w:val="2E2E38"/>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AE326A0"/>
    <w:multiLevelType w:val="hybridMultilevel"/>
    <w:tmpl w:val="4F864058"/>
    <w:lvl w:ilvl="0" w:tplc="04160017">
      <w:start w:val="1"/>
      <w:numFmt w:val="lowerLetter"/>
      <w:lvlText w:val="%1)"/>
      <w:lvlJc w:val="left"/>
      <w:pPr>
        <w:ind w:left="720" w:hanging="360"/>
      </w:pPr>
      <w:rPr>
        <w:rFonts w:hint="default"/>
        <w:color w:val="2E2E38"/>
      </w:rPr>
    </w:lvl>
    <w:lvl w:ilvl="1" w:tplc="E0EA0FDA">
      <w:start w:val="1"/>
      <w:numFmt w:val="bullet"/>
      <w:lvlText w:val=""/>
      <w:lvlJc w:val="left"/>
      <w:pPr>
        <w:ind w:left="720" w:hanging="360"/>
      </w:pPr>
      <w:rPr>
        <w:rFonts w:ascii="Symbol" w:hAnsi="Symbol" w:hint="default"/>
        <w:color w:val="2E2E3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D713BA"/>
    <w:multiLevelType w:val="hybridMultilevel"/>
    <w:tmpl w:val="04A46DEC"/>
    <w:lvl w:ilvl="0" w:tplc="FFFFFFFF">
      <w:start w:val="1"/>
      <w:numFmt w:val="lowerLetter"/>
      <w:lvlText w:val="%1)"/>
      <w:lvlJc w:val="left"/>
      <w:pPr>
        <w:ind w:left="720" w:hanging="360"/>
      </w:pPr>
      <w:rPr>
        <w:rFonts w:hint="default"/>
        <w:color w:val="2E2E38"/>
      </w:rPr>
    </w:lvl>
    <w:lvl w:ilvl="1" w:tplc="FFFFFFFF">
      <w:start w:val="1"/>
      <w:numFmt w:val="bullet"/>
      <w:lvlText w:val=""/>
      <w:lvlJc w:val="left"/>
      <w:pPr>
        <w:ind w:left="720" w:hanging="360"/>
      </w:pPr>
      <w:rPr>
        <w:rFonts w:ascii="Symbol" w:hAnsi="Symbol" w:hint="default"/>
        <w:color w:val="2E2E3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3B4718"/>
    <w:multiLevelType w:val="hybridMultilevel"/>
    <w:tmpl w:val="3E7A59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0920A3"/>
    <w:multiLevelType w:val="singleLevel"/>
    <w:tmpl w:val="2DF6AD1C"/>
    <w:lvl w:ilvl="0">
      <w:start w:val="1"/>
      <w:numFmt w:val="decimal"/>
      <w:pStyle w:val="Tpicosdaapresentao"/>
      <w:lvlText w:val="%1)"/>
      <w:lvlJc w:val="left"/>
      <w:pPr>
        <w:tabs>
          <w:tab w:val="num" w:pos="360"/>
        </w:tabs>
        <w:ind w:left="0" w:firstLine="0"/>
      </w:pPr>
      <w:rPr>
        <w:b/>
        <w:i w:val="0"/>
      </w:rPr>
    </w:lvl>
  </w:abstractNum>
  <w:abstractNum w:abstractNumId="5" w15:restartNumberingAfterBreak="0">
    <w:nsid w:val="427011F9"/>
    <w:multiLevelType w:val="hybridMultilevel"/>
    <w:tmpl w:val="5CEE988C"/>
    <w:lvl w:ilvl="0" w:tplc="E0EA0FDA">
      <w:start w:val="1"/>
      <w:numFmt w:val="bullet"/>
      <w:lvlText w:val=""/>
      <w:lvlJc w:val="left"/>
      <w:pPr>
        <w:ind w:left="720" w:hanging="360"/>
      </w:pPr>
      <w:rPr>
        <w:rFonts w:ascii="Symbol" w:hAnsi="Symbol" w:hint="default"/>
        <w:color w:val="2E2E3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8B80C99"/>
    <w:multiLevelType w:val="multilevel"/>
    <w:tmpl w:val="A6082CBE"/>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645" w:hanging="504"/>
      </w:pPr>
    </w:lvl>
    <w:lvl w:ilvl="3">
      <w:start w:val="1"/>
      <w:numFmt w:val="decimal"/>
      <w:pStyle w:val="Ttulo4"/>
      <w:lvlText w:val="%1.%2.%3.%4."/>
      <w:lvlJc w:val="left"/>
      <w:pPr>
        <w:ind w:left="1728" w:hanging="648"/>
      </w:pPr>
    </w:lvl>
    <w:lvl w:ilvl="4">
      <w:start w:val="1"/>
      <w:numFmt w:val="decimal"/>
      <w:pStyle w:val="Ttulo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90705B"/>
    <w:multiLevelType w:val="hybridMultilevel"/>
    <w:tmpl w:val="67D000AC"/>
    <w:lvl w:ilvl="0" w:tplc="5CD0FC90">
      <w:start w:val="1"/>
      <w:numFmt w:val="lowerLetter"/>
      <w:lvlText w:val="%1)"/>
      <w:lvlJc w:val="left"/>
      <w:pPr>
        <w:ind w:left="900" w:hanging="5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2D91A97"/>
    <w:multiLevelType w:val="hybridMultilevel"/>
    <w:tmpl w:val="817628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93516D4"/>
    <w:multiLevelType w:val="hybridMultilevel"/>
    <w:tmpl w:val="04A46DEC"/>
    <w:lvl w:ilvl="0" w:tplc="FFFFFFFF">
      <w:start w:val="1"/>
      <w:numFmt w:val="lowerLetter"/>
      <w:lvlText w:val="%1)"/>
      <w:lvlJc w:val="left"/>
      <w:pPr>
        <w:ind w:left="720" w:hanging="360"/>
      </w:pPr>
      <w:rPr>
        <w:rFonts w:hint="default"/>
        <w:color w:val="2E2E38"/>
      </w:rPr>
    </w:lvl>
    <w:lvl w:ilvl="1" w:tplc="E0EA0FDA">
      <w:start w:val="1"/>
      <w:numFmt w:val="bullet"/>
      <w:lvlText w:val=""/>
      <w:lvlJc w:val="left"/>
      <w:pPr>
        <w:ind w:left="720" w:hanging="360"/>
      </w:pPr>
      <w:rPr>
        <w:rFonts w:ascii="Symbol" w:hAnsi="Symbol" w:hint="default"/>
        <w:color w:val="2E2E3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994667"/>
    <w:multiLevelType w:val="hybridMultilevel"/>
    <w:tmpl w:val="4404BF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BD45C7"/>
    <w:multiLevelType w:val="hybridMultilevel"/>
    <w:tmpl w:val="3340A5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F3080A"/>
    <w:multiLevelType w:val="hybridMultilevel"/>
    <w:tmpl w:val="E64A4FCE"/>
    <w:lvl w:ilvl="0" w:tplc="FFFFFFFF">
      <w:start w:val="1"/>
      <w:numFmt w:val="bullet"/>
      <w:lvlText w:val=""/>
      <w:lvlJc w:val="left"/>
      <w:pPr>
        <w:ind w:left="720" w:hanging="360"/>
      </w:pPr>
      <w:rPr>
        <w:rFonts w:ascii="Symbol" w:hAnsi="Symbol" w:hint="default"/>
        <w:color w:val="2E2E38"/>
      </w:rPr>
    </w:lvl>
    <w:lvl w:ilvl="1" w:tplc="0416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51B15"/>
    <w:multiLevelType w:val="multilevel"/>
    <w:tmpl w:val="0B40D500"/>
    <w:lvl w:ilvl="0">
      <w:start w:val="1"/>
      <w:numFmt w:val="decimal"/>
      <w:pStyle w:val="Tabela-Ttulocomnumerao"/>
      <w:lvlText w:val="Tabela %1 —"/>
      <w:lvlJc w:val="center"/>
      <w:pPr>
        <w:tabs>
          <w:tab w:val="num" w:pos="1346"/>
        </w:tabs>
        <w:ind w:left="1346" w:firstLine="72"/>
      </w:pPr>
      <w:rPr>
        <w:rFonts w:ascii="Arial" w:hAnsi="Arial" w:hint="default"/>
        <w:b/>
        <w:i w:val="0"/>
        <w:sz w:val="20"/>
        <w:szCs w:val="20"/>
      </w:rPr>
    </w:lvl>
    <w:lvl w:ilvl="1">
      <w:start w:val="1"/>
      <w:numFmt w:val="bullet"/>
      <w:pStyle w:val="TermoItem"/>
      <w:lvlText w:val=""/>
      <w:lvlJc w:val="left"/>
      <w:pPr>
        <w:tabs>
          <w:tab w:val="num" w:pos="-1826"/>
        </w:tabs>
        <w:ind w:left="-854" w:hanging="572"/>
      </w:pPr>
      <w:rPr>
        <w:rFonts w:ascii="Symbol" w:hAnsi="Symbol" w:hint="default"/>
      </w:rPr>
    </w:lvl>
    <w:lvl w:ilvl="2">
      <w:start w:val="1"/>
      <w:numFmt w:val="bullet"/>
      <w:lvlText w:val=""/>
      <w:lvlJc w:val="left"/>
      <w:pPr>
        <w:tabs>
          <w:tab w:val="num" w:pos="-1826"/>
        </w:tabs>
        <w:ind w:left="-626" w:hanging="400"/>
      </w:pPr>
      <w:rPr>
        <w:rFonts w:ascii="Symbol" w:hAnsi="Symbol" w:hint="default"/>
      </w:rPr>
    </w:lvl>
    <w:lvl w:ilvl="3">
      <w:start w:val="1"/>
      <w:numFmt w:val="bullet"/>
      <w:lvlText w:val=""/>
      <w:lvlJc w:val="left"/>
      <w:pPr>
        <w:tabs>
          <w:tab w:val="num" w:pos="-1826"/>
        </w:tabs>
        <w:ind w:left="-226" w:hanging="400"/>
      </w:pPr>
      <w:rPr>
        <w:rFonts w:ascii="Symbol" w:hAnsi="Symbol" w:hint="default"/>
      </w:rPr>
    </w:lvl>
    <w:lvl w:ilvl="4">
      <w:start w:val="1"/>
      <w:numFmt w:val="none"/>
      <w:suff w:val="nothing"/>
      <w:lvlText w:val=""/>
      <w:lvlJc w:val="left"/>
      <w:pPr>
        <w:ind w:left="-1826" w:firstLine="0"/>
      </w:pPr>
      <w:rPr>
        <w:rFonts w:hint="default"/>
      </w:rPr>
    </w:lvl>
    <w:lvl w:ilvl="5">
      <w:start w:val="1"/>
      <w:numFmt w:val="none"/>
      <w:suff w:val="nothing"/>
      <w:lvlText w:val=""/>
      <w:lvlJc w:val="left"/>
      <w:pPr>
        <w:ind w:left="-1826" w:firstLine="0"/>
      </w:pPr>
      <w:rPr>
        <w:rFonts w:hint="default"/>
      </w:rPr>
    </w:lvl>
    <w:lvl w:ilvl="6">
      <w:start w:val="1"/>
      <w:numFmt w:val="none"/>
      <w:suff w:val="nothing"/>
      <w:lvlText w:val=""/>
      <w:lvlJc w:val="left"/>
      <w:pPr>
        <w:ind w:left="-1826" w:firstLine="0"/>
      </w:pPr>
      <w:rPr>
        <w:rFonts w:hint="default"/>
      </w:rPr>
    </w:lvl>
    <w:lvl w:ilvl="7">
      <w:start w:val="1"/>
      <w:numFmt w:val="none"/>
      <w:suff w:val="nothing"/>
      <w:lvlText w:val=""/>
      <w:lvlJc w:val="left"/>
      <w:pPr>
        <w:ind w:left="-1826" w:firstLine="0"/>
      </w:pPr>
      <w:rPr>
        <w:rFonts w:hint="default"/>
      </w:rPr>
    </w:lvl>
    <w:lvl w:ilvl="8">
      <w:start w:val="1"/>
      <w:numFmt w:val="none"/>
      <w:suff w:val="nothing"/>
      <w:lvlText w:val=""/>
      <w:lvlJc w:val="left"/>
      <w:pPr>
        <w:ind w:left="-1826" w:firstLine="0"/>
      </w:pPr>
      <w:rPr>
        <w:rFonts w:hint="default"/>
      </w:rPr>
    </w:lvl>
  </w:abstractNum>
  <w:num w:numId="1" w16cid:durableId="373626278">
    <w:abstractNumId w:val="6"/>
  </w:num>
  <w:num w:numId="2" w16cid:durableId="1603412161">
    <w:abstractNumId w:val="8"/>
  </w:num>
  <w:num w:numId="3" w16cid:durableId="1341007062">
    <w:abstractNumId w:val="7"/>
  </w:num>
  <w:num w:numId="4" w16cid:durableId="2145153701">
    <w:abstractNumId w:val="0"/>
  </w:num>
  <w:num w:numId="5" w16cid:durableId="239487874">
    <w:abstractNumId w:val="12"/>
  </w:num>
  <w:num w:numId="6" w16cid:durableId="1831755427">
    <w:abstractNumId w:val="10"/>
  </w:num>
  <w:num w:numId="7" w16cid:durableId="558899334">
    <w:abstractNumId w:val="11"/>
  </w:num>
  <w:num w:numId="8" w16cid:durableId="113334959">
    <w:abstractNumId w:val="5"/>
  </w:num>
  <w:num w:numId="9" w16cid:durableId="1918398492">
    <w:abstractNumId w:val="3"/>
  </w:num>
  <w:num w:numId="10" w16cid:durableId="197663891">
    <w:abstractNumId w:val="1"/>
  </w:num>
  <w:num w:numId="11" w16cid:durableId="2066171721">
    <w:abstractNumId w:val="9"/>
  </w:num>
  <w:num w:numId="12" w16cid:durableId="132329710">
    <w:abstractNumId w:val="2"/>
  </w:num>
  <w:num w:numId="13" w16cid:durableId="1836217798">
    <w:abstractNumId w:val="4"/>
  </w:num>
  <w:num w:numId="14" w16cid:durableId="10315504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AA"/>
    <w:rsid w:val="00001433"/>
    <w:rsid w:val="000023D7"/>
    <w:rsid w:val="00002F19"/>
    <w:rsid w:val="000034F9"/>
    <w:rsid w:val="000036E9"/>
    <w:rsid w:val="0000408E"/>
    <w:rsid w:val="00004718"/>
    <w:rsid w:val="00004971"/>
    <w:rsid w:val="00006781"/>
    <w:rsid w:val="00006908"/>
    <w:rsid w:val="00011A17"/>
    <w:rsid w:val="00013592"/>
    <w:rsid w:val="00013731"/>
    <w:rsid w:val="00014136"/>
    <w:rsid w:val="00015DDC"/>
    <w:rsid w:val="0001692E"/>
    <w:rsid w:val="00016DD3"/>
    <w:rsid w:val="00021577"/>
    <w:rsid w:val="00022D0B"/>
    <w:rsid w:val="00024312"/>
    <w:rsid w:val="00024970"/>
    <w:rsid w:val="00025212"/>
    <w:rsid w:val="00026380"/>
    <w:rsid w:val="000301BF"/>
    <w:rsid w:val="0003169A"/>
    <w:rsid w:val="00031C8A"/>
    <w:rsid w:val="00031F53"/>
    <w:rsid w:val="000332F1"/>
    <w:rsid w:val="00033A4B"/>
    <w:rsid w:val="00033AAE"/>
    <w:rsid w:val="00035705"/>
    <w:rsid w:val="00035B04"/>
    <w:rsid w:val="00037C42"/>
    <w:rsid w:val="00037C8E"/>
    <w:rsid w:val="00037DC0"/>
    <w:rsid w:val="00037FFE"/>
    <w:rsid w:val="00040287"/>
    <w:rsid w:val="00040D3D"/>
    <w:rsid w:val="00041AB2"/>
    <w:rsid w:val="00045656"/>
    <w:rsid w:val="000457F6"/>
    <w:rsid w:val="000461CD"/>
    <w:rsid w:val="00047049"/>
    <w:rsid w:val="00047175"/>
    <w:rsid w:val="00047CE3"/>
    <w:rsid w:val="00047DE2"/>
    <w:rsid w:val="00052106"/>
    <w:rsid w:val="00052AF9"/>
    <w:rsid w:val="00053490"/>
    <w:rsid w:val="000537DC"/>
    <w:rsid w:val="00054251"/>
    <w:rsid w:val="00054925"/>
    <w:rsid w:val="00054946"/>
    <w:rsid w:val="00054CFE"/>
    <w:rsid w:val="00054DF6"/>
    <w:rsid w:val="00054F65"/>
    <w:rsid w:val="000558C7"/>
    <w:rsid w:val="0005623A"/>
    <w:rsid w:val="00056322"/>
    <w:rsid w:val="0005639B"/>
    <w:rsid w:val="000564B0"/>
    <w:rsid w:val="0005657F"/>
    <w:rsid w:val="00057422"/>
    <w:rsid w:val="00057820"/>
    <w:rsid w:val="00057EDD"/>
    <w:rsid w:val="00060C8A"/>
    <w:rsid w:val="000621FD"/>
    <w:rsid w:val="00063A3B"/>
    <w:rsid w:val="0006480D"/>
    <w:rsid w:val="000650D7"/>
    <w:rsid w:val="000678ED"/>
    <w:rsid w:val="0007071D"/>
    <w:rsid w:val="00070F55"/>
    <w:rsid w:val="000710AC"/>
    <w:rsid w:val="000717D6"/>
    <w:rsid w:val="00071B70"/>
    <w:rsid w:val="00071E48"/>
    <w:rsid w:val="00072162"/>
    <w:rsid w:val="00072537"/>
    <w:rsid w:val="00072F69"/>
    <w:rsid w:val="000732F1"/>
    <w:rsid w:val="00073903"/>
    <w:rsid w:val="000739A7"/>
    <w:rsid w:val="0007462F"/>
    <w:rsid w:val="00074695"/>
    <w:rsid w:val="000760F2"/>
    <w:rsid w:val="00076F8E"/>
    <w:rsid w:val="00077445"/>
    <w:rsid w:val="00077F3B"/>
    <w:rsid w:val="00080F2A"/>
    <w:rsid w:val="000829C6"/>
    <w:rsid w:val="00084893"/>
    <w:rsid w:val="00085379"/>
    <w:rsid w:val="00086368"/>
    <w:rsid w:val="000907BC"/>
    <w:rsid w:val="0009095B"/>
    <w:rsid w:val="00090FB2"/>
    <w:rsid w:val="00091E69"/>
    <w:rsid w:val="00092AE8"/>
    <w:rsid w:val="000965EB"/>
    <w:rsid w:val="00096E29"/>
    <w:rsid w:val="00097B9A"/>
    <w:rsid w:val="000A12E5"/>
    <w:rsid w:val="000A385A"/>
    <w:rsid w:val="000A493C"/>
    <w:rsid w:val="000A556B"/>
    <w:rsid w:val="000A5B8C"/>
    <w:rsid w:val="000A60D5"/>
    <w:rsid w:val="000A676B"/>
    <w:rsid w:val="000A6C25"/>
    <w:rsid w:val="000A7D7C"/>
    <w:rsid w:val="000B0D47"/>
    <w:rsid w:val="000B1E02"/>
    <w:rsid w:val="000B20DE"/>
    <w:rsid w:val="000B2C77"/>
    <w:rsid w:val="000B2D3F"/>
    <w:rsid w:val="000B3538"/>
    <w:rsid w:val="000B36B7"/>
    <w:rsid w:val="000B4585"/>
    <w:rsid w:val="000B4A15"/>
    <w:rsid w:val="000B5492"/>
    <w:rsid w:val="000C0E6D"/>
    <w:rsid w:val="000C0EAE"/>
    <w:rsid w:val="000C18EE"/>
    <w:rsid w:val="000C1C90"/>
    <w:rsid w:val="000C294B"/>
    <w:rsid w:val="000C48DD"/>
    <w:rsid w:val="000C6C72"/>
    <w:rsid w:val="000C7F23"/>
    <w:rsid w:val="000D25CE"/>
    <w:rsid w:val="000D3518"/>
    <w:rsid w:val="000D4ACD"/>
    <w:rsid w:val="000D4FC5"/>
    <w:rsid w:val="000D5BA3"/>
    <w:rsid w:val="000D6167"/>
    <w:rsid w:val="000D6626"/>
    <w:rsid w:val="000D6891"/>
    <w:rsid w:val="000E0673"/>
    <w:rsid w:val="000E2D6A"/>
    <w:rsid w:val="000E2E71"/>
    <w:rsid w:val="000E3892"/>
    <w:rsid w:val="000E572F"/>
    <w:rsid w:val="000F025E"/>
    <w:rsid w:val="000F0DA8"/>
    <w:rsid w:val="000F14D5"/>
    <w:rsid w:val="000F241F"/>
    <w:rsid w:val="000F2918"/>
    <w:rsid w:val="000F37F2"/>
    <w:rsid w:val="000F384D"/>
    <w:rsid w:val="000F69C5"/>
    <w:rsid w:val="0010043E"/>
    <w:rsid w:val="00100488"/>
    <w:rsid w:val="0010171D"/>
    <w:rsid w:val="001017A4"/>
    <w:rsid w:val="00101C34"/>
    <w:rsid w:val="00102883"/>
    <w:rsid w:val="00105811"/>
    <w:rsid w:val="00106087"/>
    <w:rsid w:val="00107417"/>
    <w:rsid w:val="00107B48"/>
    <w:rsid w:val="00107F76"/>
    <w:rsid w:val="00110463"/>
    <w:rsid w:val="00111733"/>
    <w:rsid w:val="00111B53"/>
    <w:rsid w:val="0011381A"/>
    <w:rsid w:val="00113EC1"/>
    <w:rsid w:val="00116156"/>
    <w:rsid w:val="001179CA"/>
    <w:rsid w:val="00117BC2"/>
    <w:rsid w:val="00117C4B"/>
    <w:rsid w:val="00121E26"/>
    <w:rsid w:val="00123994"/>
    <w:rsid w:val="001260EC"/>
    <w:rsid w:val="001262DE"/>
    <w:rsid w:val="00126BC8"/>
    <w:rsid w:val="00126F76"/>
    <w:rsid w:val="00127694"/>
    <w:rsid w:val="00130110"/>
    <w:rsid w:val="00131ED0"/>
    <w:rsid w:val="001327E7"/>
    <w:rsid w:val="00134FA2"/>
    <w:rsid w:val="00135307"/>
    <w:rsid w:val="00140AE7"/>
    <w:rsid w:val="00140CE1"/>
    <w:rsid w:val="00141950"/>
    <w:rsid w:val="001423D9"/>
    <w:rsid w:val="00142439"/>
    <w:rsid w:val="0014310F"/>
    <w:rsid w:val="001432DD"/>
    <w:rsid w:val="001439F0"/>
    <w:rsid w:val="00143A33"/>
    <w:rsid w:val="001446B5"/>
    <w:rsid w:val="0014615E"/>
    <w:rsid w:val="001464A7"/>
    <w:rsid w:val="00147679"/>
    <w:rsid w:val="00147C91"/>
    <w:rsid w:val="00151721"/>
    <w:rsid w:val="00151B0F"/>
    <w:rsid w:val="00151B41"/>
    <w:rsid w:val="0015209B"/>
    <w:rsid w:val="001531EC"/>
    <w:rsid w:val="001533E8"/>
    <w:rsid w:val="001534CA"/>
    <w:rsid w:val="00153E6B"/>
    <w:rsid w:val="00154536"/>
    <w:rsid w:val="001554F8"/>
    <w:rsid w:val="00156600"/>
    <w:rsid w:val="00157064"/>
    <w:rsid w:val="00157192"/>
    <w:rsid w:val="001614A0"/>
    <w:rsid w:val="00163273"/>
    <w:rsid w:val="00163B34"/>
    <w:rsid w:val="00163D0C"/>
    <w:rsid w:val="00163F27"/>
    <w:rsid w:val="001646BA"/>
    <w:rsid w:val="00165106"/>
    <w:rsid w:val="0016579A"/>
    <w:rsid w:val="0016626B"/>
    <w:rsid w:val="00166330"/>
    <w:rsid w:val="00167286"/>
    <w:rsid w:val="00170002"/>
    <w:rsid w:val="00170EEB"/>
    <w:rsid w:val="00172A50"/>
    <w:rsid w:val="00173E0B"/>
    <w:rsid w:val="0017643D"/>
    <w:rsid w:val="00177F5A"/>
    <w:rsid w:val="001811B2"/>
    <w:rsid w:val="00181704"/>
    <w:rsid w:val="00183D00"/>
    <w:rsid w:val="00184683"/>
    <w:rsid w:val="00187B09"/>
    <w:rsid w:val="00191226"/>
    <w:rsid w:val="0019226D"/>
    <w:rsid w:val="00192A6B"/>
    <w:rsid w:val="00194D85"/>
    <w:rsid w:val="0019540A"/>
    <w:rsid w:val="00195D34"/>
    <w:rsid w:val="00196049"/>
    <w:rsid w:val="00196B19"/>
    <w:rsid w:val="001A10C0"/>
    <w:rsid w:val="001A2299"/>
    <w:rsid w:val="001A22BC"/>
    <w:rsid w:val="001A233D"/>
    <w:rsid w:val="001A307F"/>
    <w:rsid w:val="001A5058"/>
    <w:rsid w:val="001A7336"/>
    <w:rsid w:val="001A7739"/>
    <w:rsid w:val="001B1470"/>
    <w:rsid w:val="001B22C2"/>
    <w:rsid w:val="001B24BA"/>
    <w:rsid w:val="001B3458"/>
    <w:rsid w:val="001B612F"/>
    <w:rsid w:val="001B65BA"/>
    <w:rsid w:val="001B71E1"/>
    <w:rsid w:val="001B7D80"/>
    <w:rsid w:val="001C2203"/>
    <w:rsid w:val="001C4195"/>
    <w:rsid w:val="001C54BF"/>
    <w:rsid w:val="001C58B3"/>
    <w:rsid w:val="001C7151"/>
    <w:rsid w:val="001C7522"/>
    <w:rsid w:val="001D0693"/>
    <w:rsid w:val="001D0D67"/>
    <w:rsid w:val="001D1AFE"/>
    <w:rsid w:val="001D4295"/>
    <w:rsid w:val="001D4935"/>
    <w:rsid w:val="001D5B20"/>
    <w:rsid w:val="001D6E5A"/>
    <w:rsid w:val="001D7F91"/>
    <w:rsid w:val="001E04E7"/>
    <w:rsid w:val="001E0FE7"/>
    <w:rsid w:val="001E167A"/>
    <w:rsid w:val="001E2EEB"/>
    <w:rsid w:val="001E3252"/>
    <w:rsid w:val="001E33E3"/>
    <w:rsid w:val="001E4D9A"/>
    <w:rsid w:val="001E5D6B"/>
    <w:rsid w:val="001E5DBB"/>
    <w:rsid w:val="001E6861"/>
    <w:rsid w:val="001E6A51"/>
    <w:rsid w:val="001E7CCF"/>
    <w:rsid w:val="001E7E68"/>
    <w:rsid w:val="001F0B35"/>
    <w:rsid w:val="001F1646"/>
    <w:rsid w:val="001F17CF"/>
    <w:rsid w:val="001F19E1"/>
    <w:rsid w:val="001F2030"/>
    <w:rsid w:val="001F2B37"/>
    <w:rsid w:val="001F2C39"/>
    <w:rsid w:val="001F3722"/>
    <w:rsid w:val="001F4010"/>
    <w:rsid w:val="001F5A5B"/>
    <w:rsid w:val="001F648D"/>
    <w:rsid w:val="001F6622"/>
    <w:rsid w:val="001F7CD8"/>
    <w:rsid w:val="0020022C"/>
    <w:rsid w:val="002002C6"/>
    <w:rsid w:val="00200756"/>
    <w:rsid w:val="0020080F"/>
    <w:rsid w:val="0020144B"/>
    <w:rsid w:val="00201713"/>
    <w:rsid w:val="002018B8"/>
    <w:rsid w:val="00201B76"/>
    <w:rsid w:val="00201CBD"/>
    <w:rsid w:val="00201E7C"/>
    <w:rsid w:val="00202E4A"/>
    <w:rsid w:val="002049A1"/>
    <w:rsid w:val="00205AA9"/>
    <w:rsid w:val="0020631B"/>
    <w:rsid w:val="00206463"/>
    <w:rsid w:val="0021092B"/>
    <w:rsid w:val="00211CBB"/>
    <w:rsid w:val="0021346A"/>
    <w:rsid w:val="0021349E"/>
    <w:rsid w:val="00213D03"/>
    <w:rsid w:val="002153B5"/>
    <w:rsid w:val="00215C40"/>
    <w:rsid w:val="00216057"/>
    <w:rsid w:val="002167C7"/>
    <w:rsid w:val="00216F3D"/>
    <w:rsid w:val="0021774A"/>
    <w:rsid w:val="0022164C"/>
    <w:rsid w:val="00221874"/>
    <w:rsid w:val="00221F46"/>
    <w:rsid w:val="002223E3"/>
    <w:rsid w:val="002225AE"/>
    <w:rsid w:val="002226A8"/>
    <w:rsid w:val="00222A11"/>
    <w:rsid w:val="002231FA"/>
    <w:rsid w:val="00223613"/>
    <w:rsid w:val="00223882"/>
    <w:rsid w:val="00223E16"/>
    <w:rsid w:val="00223E5E"/>
    <w:rsid w:val="00224A03"/>
    <w:rsid w:val="00225577"/>
    <w:rsid w:val="00226C92"/>
    <w:rsid w:val="00227612"/>
    <w:rsid w:val="0022771A"/>
    <w:rsid w:val="00227A79"/>
    <w:rsid w:val="00227C18"/>
    <w:rsid w:val="00227C9F"/>
    <w:rsid w:val="002310D4"/>
    <w:rsid w:val="0023162E"/>
    <w:rsid w:val="0023183E"/>
    <w:rsid w:val="0023210C"/>
    <w:rsid w:val="00232EA4"/>
    <w:rsid w:val="0023341B"/>
    <w:rsid w:val="00233E08"/>
    <w:rsid w:val="00234A3B"/>
    <w:rsid w:val="00234D8B"/>
    <w:rsid w:val="00234E76"/>
    <w:rsid w:val="00235467"/>
    <w:rsid w:val="00237238"/>
    <w:rsid w:val="00237843"/>
    <w:rsid w:val="002406CB"/>
    <w:rsid w:val="00241C0A"/>
    <w:rsid w:val="00241D90"/>
    <w:rsid w:val="00242B3C"/>
    <w:rsid w:val="00242B92"/>
    <w:rsid w:val="00242D07"/>
    <w:rsid w:val="00245D2F"/>
    <w:rsid w:val="00247630"/>
    <w:rsid w:val="00247891"/>
    <w:rsid w:val="00247D06"/>
    <w:rsid w:val="00250723"/>
    <w:rsid w:val="00251E99"/>
    <w:rsid w:val="00252EAF"/>
    <w:rsid w:val="002538E7"/>
    <w:rsid w:val="002546CB"/>
    <w:rsid w:val="002555C1"/>
    <w:rsid w:val="0025688F"/>
    <w:rsid w:val="00261F3C"/>
    <w:rsid w:val="00262041"/>
    <w:rsid w:val="00263FEE"/>
    <w:rsid w:val="002640F4"/>
    <w:rsid w:val="002653DB"/>
    <w:rsid w:val="00265978"/>
    <w:rsid w:val="00266DA6"/>
    <w:rsid w:val="00267B8C"/>
    <w:rsid w:val="002702CC"/>
    <w:rsid w:val="00270361"/>
    <w:rsid w:val="00270AD2"/>
    <w:rsid w:val="00270F38"/>
    <w:rsid w:val="00271C14"/>
    <w:rsid w:val="00272719"/>
    <w:rsid w:val="002735B5"/>
    <w:rsid w:val="00274434"/>
    <w:rsid w:val="00276706"/>
    <w:rsid w:val="00276CAC"/>
    <w:rsid w:val="002804FA"/>
    <w:rsid w:val="00280EF4"/>
    <w:rsid w:val="00280F27"/>
    <w:rsid w:val="00282064"/>
    <w:rsid w:val="00282FFB"/>
    <w:rsid w:val="0028419A"/>
    <w:rsid w:val="00285EF8"/>
    <w:rsid w:val="0028618D"/>
    <w:rsid w:val="00286DBC"/>
    <w:rsid w:val="00287D02"/>
    <w:rsid w:val="002911A9"/>
    <w:rsid w:val="00292F2B"/>
    <w:rsid w:val="0029374A"/>
    <w:rsid w:val="00295767"/>
    <w:rsid w:val="00295F3B"/>
    <w:rsid w:val="002968D2"/>
    <w:rsid w:val="00296CFD"/>
    <w:rsid w:val="00297D37"/>
    <w:rsid w:val="00297EB6"/>
    <w:rsid w:val="002A03D2"/>
    <w:rsid w:val="002A1075"/>
    <w:rsid w:val="002A37AD"/>
    <w:rsid w:val="002A4114"/>
    <w:rsid w:val="002A7823"/>
    <w:rsid w:val="002A7E5F"/>
    <w:rsid w:val="002A7F72"/>
    <w:rsid w:val="002B119D"/>
    <w:rsid w:val="002B17E8"/>
    <w:rsid w:val="002B3D51"/>
    <w:rsid w:val="002B4787"/>
    <w:rsid w:val="002B5208"/>
    <w:rsid w:val="002B5818"/>
    <w:rsid w:val="002B6153"/>
    <w:rsid w:val="002C121E"/>
    <w:rsid w:val="002C2781"/>
    <w:rsid w:val="002C2BF7"/>
    <w:rsid w:val="002C36CC"/>
    <w:rsid w:val="002C4F06"/>
    <w:rsid w:val="002D1C88"/>
    <w:rsid w:val="002D45E4"/>
    <w:rsid w:val="002D5BB2"/>
    <w:rsid w:val="002D7952"/>
    <w:rsid w:val="002D7CFC"/>
    <w:rsid w:val="002E1387"/>
    <w:rsid w:val="002E1E18"/>
    <w:rsid w:val="002E38A8"/>
    <w:rsid w:val="002E464F"/>
    <w:rsid w:val="002E4653"/>
    <w:rsid w:val="002E468A"/>
    <w:rsid w:val="002E5942"/>
    <w:rsid w:val="002E5C06"/>
    <w:rsid w:val="002E6C4A"/>
    <w:rsid w:val="002E719A"/>
    <w:rsid w:val="002F05CE"/>
    <w:rsid w:val="002F0981"/>
    <w:rsid w:val="002F166D"/>
    <w:rsid w:val="002F1D39"/>
    <w:rsid w:val="002F2CB7"/>
    <w:rsid w:val="002F7223"/>
    <w:rsid w:val="003017BE"/>
    <w:rsid w:val="0030300D"/>
    <w:rsid w:val="0030341D"/>
    <w:rsid w:val="00304F9C"/>
    <w:rsid w:val="003061D1"/>
    <w:rsid w:val="00306E68"/>
    <w:rsid w:val="00310D6B"/>
    <w:rsid w:val="00312226"/>
    <w:rsid w:val="003153E5"/>
    <w:rsid w:val="00315F87"/>
    <w:rsid w:val="003165FF"/>
    <w:rsid w:val="00320E96"/>
    <w:rsid w:val="00322A2B"/>
    <w:rsid w:val="003230D8"/>
    <w:rsid w:val="00323C6B"/>
    <w:rsid w:val="00324BF3"/>
    <w:rsid w:val="00325F92"/>
    <w:rsid w:val="00327465"/>
    <w:rsid w:val="00327620"/>
    <w:rsid w:val="00327899"/>
    <w:rsid w:val="00327A65"/>
    <w:rsid w:val="00327B71"/>
    <w:rsid w:val="003312EF"/>
    <w:rsid w:val="003329B8"/>
    <w:rsid w:val="00332FA0"/>
    <w:rsid w:val="00333E0F"/>
    <w:rsid w:val="0033651B"/>
    <w:rsid w:val="00337646"/>
    <w:rsid w:val="00340D6E"/>
    <w:rsid w:val="0034246E"/>
    <w:rsid w:val="00342B3F"/>
    <w:rsid w:val="003438E9"/>
    <w:rsid w:val="0034539F"/>
    <w:rsid w:val="003458F1"/>
    <w:rsid w:val="003462C8"/>
    <w:rsid w:val="0035127A"/>
    <w:rsid w:val="003523B4"/>
    <w:rsid w:val="00352525"/>
    <w:rsid w:val="0035297F"/>
    <w:rsid w:val="00352BA5"/>
    <w:rsid w:val="00353043"/>
    <w:rsid w:val="00353777"/>
    <w:rsid w:val="00354F26"/>
    <w:rsid w:val="003555D7"/>
    <w:rsid w:val="00356AC0"/>
    <w:rsid w:val="00356EC3"/>
    <w:rsid w:val="00357618"/>
    <w:rsid w:val="003576E7"/>
    <w:rsid w:val="00360413"/>
    <w:rsid w:val="0036059B"/>
    <w:rsid w:val="003605B2"/>
    <w:rsid w:val="00361985"/>
    <w:rsid w:val="00361DEC"/>
    <w:rsid w:val="0036389B"/>
    <w:rsid w:val="00364171"/>
    <w:rsid w:val="00364BB3"/>
    <w:rsid w:val="00364DBC"/>
    <w:rsid w:val="0036552B"/>
    <w:rsid w:val="003655A4"/>
    <w:rsid w:val="003658D0"/>
    <w:rsid w:val="003668F5"/>
    <w:rsid w:val="00367813"/>
    <w:rsid w:val="00367FC9"/>
    <w:rsid w:val="0037101B"/>
    <w:rsid w:val="003711E0"/>
    <w:rsid w:val="00371261"/>
    <w:rsid w:val="003718E9"/>
    <w:rsid w:val="00371C91"/>
    <w:rsid w:val="00372600"/>
    <w:rsid w:val="0037582E"/>
    <w:rsid w:val="003772A0"/>
    <w:rsid w:val="003772C0"/>
    <w:rsid w:val="00380517"/>
    <w:rsid w:val="003809D3"/>
    <w:rsid w:val="003810DF"/>
    <w:rsid w:val="003817BE"/>
    <w:rsid w:val="00381AEA"/>
    <w:rsid w:val="0038205B"/>
    <w:rsid w:val="003820E6"/>
    <w:rsid w:val="00382B2C"/>
    <w:rsid w:val="00384E18"/>
    <w:rsid w:val="00385228"/>
    <w:rsid w:val="0038527B"/>
    <w:rsid w:val="00385B2E"/>
    <w:rsid w:val="003871E9"/>
    <w:rsid w:val="00387F35"/>
    <w:rsid w:val="00387F38"/>
    <w:rsid w:val="00387F63"/>
    <w:rsid w:val="003900B2"/>
    <w:rsid w:val="00391351"/>
    <w:rsid w:val="003916B1"/>
    <w:rsid w:val="00391E26"/>
    <w:rsid w:val="00392097"/>
    <w:rsid w:val="00392ABA"/>
    <w:rsid w:val="00393F17"/>
    <w:rsid w:val="00394172"/>
    <w:rsid w:val="00396C3C"/>
    <w:rsid w:val="003974D3"/>
    <w:rsid w:val="003A0018"/>
    <w:rsid w:val="003A0287"/>
    <w:rsid w:val="003A2C97"/>
    <w:rsid w:val="003A3439"/>
    <w:rsid w:val="003A527E"/>
    <w:rsid w:val="003A5BC0"/>
    <w:rsid w:val="003A5F43"/>
    <w:rsid w:val="003A64AD"/>
    <w:rsid w:val="003A7E18"/>
    <w:rsid w:val="003A7E98"/>
    <w:rsid w:val="003B0199"/>
    <w:rsid w:val="003B07AC"/>
    <w:rsid w:val="003B14C9"/>
    <w:rsid w:val="003B18EF"/>
    <w:rsid w:val="003B1CC4"/>
    <w:rsid w:val="003B29F0"/>
    <w:rsid w:val="003B3640"/>
    <w:rsid w:val="003B3728"/>
    <w:rsid w:val="003B407B"/>
    <w:rsid w:val="003B5B9D"/>
    <w:rsid w:val="003B6A5E"/>
    <w:rsid w:val="003B7225"/>
    <w:rsid w:val="003C0BF0"/>
    <w:rsid w:val="003C1A75"/>
    <w:rsid w:val="003C2587"/>
    <w:rsid w:val="003C2A99"/>
    <w:rsid w:val="003C3530"/>
    <w:rsid w:val="003C3D56"/>
    <w:rsid w:val="003C3EE4"/>
    <w:rsid w:val="003C6735"/>
    <w:rsid w:val="003C69B0"/>
    <w:rsid w:val="003C6AEF"/>
    <w:rsid w:val="003C6BDE"/>
    <w:rsid w:val="003C6F30"/>
    <w:rsid w:val="003D03EF"/>
    <w:rsid w:val="003D1548"/>
    <w:rsid w:val="003D20D7"/>
    <w:rsid w:val="003D2320"/>
    <w:rsid w:val="003D3653"/>
    <w:rsid w:val="003D3A71"/>
    <w:rsid w:val="003D547D"/>
    <w:rsid w:val="003D589E"/>
    <w:rsid w:val="003D616A"/>
    <w:rsid w:val="003D6B19"/>
    <w:rsid w:val="003D717D"/>
    <w:rsid w:val="003D7BE0"/>
    <w:rsid w:val="003E0BD2"/>
    <w:rsid w:val="003E1B05"/>
    <w:rsid w:val="003E2481"/>
    <w:rsid w:val="003E2998"/>
    <w:rsid w:val="003E3130"/>
    <w:rsid w:val="003E3266"/>
    <w:rsid w:val="003E3F3C"/>
    <w:rsid w:val="003E42DA"/>
    <w:rsid w:val="003E4FF3"/>
    <w:rsid w:val="003E6B7C"/>
    <w:rsid w:val="003E7796"/>
    <w:rsid w:val="003E7C74"/>
    <w:rsid w:val="003F0165"/>
    <w:rsid w:val="003F01E0"/>
    <w:rsid w:val="003F1B69"/>
    <w:rsid w:val="003F2C3C"/>
    <w:rsid w:val="003F430F"/>
    <w:rsid w:val="003F457E"/>
    <w:rsid w:val="003F49E1"/>
    <w:rsid w:val="003F61EC"/>
    <w:rsid w:val="003F624B"/>
    <w:rsid w:val="003F6310"/>
    <w:rsid w:val="003F70CC"/>
    <w:rsid w:val="003F7A1F"/>
    <w:rsid w:val="003F7F59"/>
    <w:rsid w:val="00401C13"/>
    <w:rsid w:val="004021B6"/>
    <w:rsid w:val="00402A69"/>
    <w:rsid w:val="00402CE4"/>
    <w:rsid w:val="004039ED"/>
    <w:rsid w:val="00403B69"/>
    <w:rsid w:val="004041A5"/>
    <w:rsid w:val="0040505C"/>
    <w:rsid w:val="0040711E"/>
    <w:rsid w:val="00407F7B"/>
    <w:rsid w:val="00410284"/>
    <w:rsid w:val="00411869"/>
    <w:rsid w:val="00412A5A"/>
    <w:rsid w:val="00413296"/>
    <w:rsid w:val="0041348E"/>
    <w:rsid w:val="00413923"/>
    <w:rsid w:val="00413B77"/>
    <w:rsid w:val="00414962"/>
    <w:rsid w:val="00414BBF"/>
    <w:rsid w:val="00415480"/>
    <w:rsid w:val="0041571F"/>
    <w:rsid w:val="00415B92"/>
    <w:rsid w:val="00416489"/>
    <w:rsid w:val="0041688B"/>
    <w:rsid w:val="00416D4B"/>
    <w:rsid w:val="00416F56"/>
    <w:rsid w:val="00417A88"/>
    <w:rsid w:val="00417BB6"/>
    <w:rsid w:val="004225F7"/>
    <w:rsid w:val="00422C00"/>
    <w:rsid w:val="00422F59"/>
    <w:rsid w:val="00423D73"/>
    <w:rsid w:val="00423F1C"/>
    <w:rsid w:val="0042543E"/>
    <w:rsid w:val="00425490"/>
    <w:rsid w:val="00426BF7"/>
    <w:rsid w:val="00427411"/>
    <w:rsid w:val="004301E0"/>
    <w:rsid w:val="00430E1F"/>
    <w:rsid w:val="00430E78"/>
    <w:rsid w:val="00430FCA"/>
    <w:rsid w:val="004313A2"/>
    <w:rsid w:val="00431E40"/>
    <w:rsid w:val="00432712"/>
    <w:rsid w:val="004329B9"/>
    <w:rsid w:val="00434D05"/>
    <w:rsid w:val="00435237"/>
    <w:rsid w:val="0043527F"/>
    <w:rsid w:val="00435D42"/>
    <w:rsid w:val="0043729E"/>
    <w:rsid w:val="0043771F"/>
    <w:rsid w:val="004379B7"/>
    <w:rsid w:val="00437A43"/>
    <w:rsid w:val="00437EFB"/>
    <w:rsid w:val="00437FE5"/>
    <w:rsid w:val="00441A73"/>
    <w:rsid w:val="004423BE"/>
    <w:rsid w:val="00442567"/>
    <w:rsid w:val="00442B6C"/>
    <w:rsid w:val="00443BB8"/>
    <w:rsid w:val="00443CFA"/>
    <w:rsid w:val="0044583B"/>
    <w:rsid w:val="00447C47"/>
    <w:rsid w:val="004506B6"/>
    <w:rsid w:val="00450EC1"/>
    <w:rsid w:val="00452C6D"/>
    <w:rsid w:val="004533C8"/>
    <w:rsid w:val="004537E5"/>
    <w:rsid w:val="00453886"/>
    <w:rsid w:val="00455408"/>
    <w:rsid w:val="00455A88"/>
    <w:rsid w:val="00456181"/>
    <w:rsid w:val="004570A4"/>
    <w:rsid w:val="00457DAD"/>
    <w:rsid w:val="0046050E"/>
    <w:rsid w:val="0046079B"/>
    <w:rsid w:val="00461ED5"/>
    <w:rsid w:val="00461F34"/>
    <w:rsid w:val="00463374"/>
    <w:rsid w:val="00463544"/>
    <w:rsid w:val="004649A9"/>
    <w:rsid w:val="0046576B"/>
    <w:rsid w:val="00465AA3"/>
    <w:rsid w:val="00465D96"/>
    <w:rsid w:val="00465F78"/>
    <w:rsid w:val="004665A0"/>
    <w:rsid w:val="00466D48"/>
    <w:rsid w:val="00467B9F"/>
    <w:rsid w:val="00472D50"/>
    <w:rsid w:val="00472F15"/>
    <w:rsid w:val="004732B4"/>
    <w:rsid w:val="00474BF2"/>
    <w:rsid w:val="00474CFA"/>
    <w:rsid w:val="004758DB"/>
    <w:rsid w:val="00475D2B"/>
    <w:rsid w:val="00476CC2"/>
    <w:rsid w:val="004777AB"/>
    <w:rsid w:val="00480753"/>
    <w:rsid w:val="00481450"/>
    <w:rsid w:val="00481977"/>
    <w:rsid w:val="00482527"/>
    <w:rsid w:val="00483499"/>
    <w:rsid w:val="0048395B"/>
    <w:rsid w:val="00483F1F"/>
    <w:rsid w:val="00486D5A"/>
    <w:rsid w:val="00487653"/>
    <w:rsid w:val="00487EBC"/>
    <w:rsid w:val="004903CD"/>
    <w:rsid w:val="004908DE"/>
    <w:rsid w:val="00491247"/>
    <w:rsid w:val="00492465"/>
    <w:rsid w:val="00492FEC"/>
    <w:rsid w:val="004931B1"/>
    <w:rsid w:val="00493556"/>
    <w:rsid w:val="00494F56"/>
    <w:rsid w:val="00495464"/>
    <w:rsid w:val="00497BBE"/>
    <w:rsid w:val="004A01A7"/>
    <w:rsid w:val="004A0A0B"/>
    <w:rsid w:val="004A0CD2"/>
    <w:rsid w:val="004A348D"/>
    <w:rsid w:val="004A3842"/>
    <w:rsid w:val="004A49BA"/>
    <w:rsid w:val="004A62FD"/>
    <w:rsid w:val="004A6D28"/>
    <w:rsid w:val="004A74D9"/>
    <w:rsid w:val="004B0F39"/>
    <w:rsid w:val="004B27D7"/>
    <w:rsid w:val="004B29D6"/>
    <w:rsid w:val="004B37EC"/>
    <w:rsid w:val="004B4F1B"/>
    <w:rsid w:val="004B540D"/>
    <w:rsid w:val="004B6CF8"/>
    <w:rsid w:val="004B6D26"/>
    <w:rsid w:val="004B7CD4"/>
    <w:rsid w:val="004C01D2"/>
    <w:rsid w:val="004C143A"/>
    <w:rsid w:val="004C1A3B"/>
    <w:rsid w:val="004C1F0A"/>
    <w:rsid w:val="004C36EC"/>
    <w:rsid w:val="004C3B6D"/>
    <w:rsid w:val="004C4297"/>
    <w:rsid w:val="004C44AB"/>
    <w:rsid w:val="004C6627"/>
    <w:rsid w:val="004C7F61"/>
    <w:rsid w:val="004D06E5"/>
    <w:rsid w:val="004D0790"/>
    <w:rsid w:val="004D09E6"/>
    <w:rsid w:val="004D30B7"/>
    <w:rsid w:val="004D3754"/>
    <w:rsid w:val="004D3C46"/>
    <w:rsid w:val="004D40EC"/>
    <w:rsid w:val="004D4840"/>
    <w:rsid w:val="004D710D"/>
    <w:rsid w:val="004E0334"/>
    <w:rsid w:val="004E1014"/>
    <w:rsid w:val="004E1E22"/>
    <w:rsid w:val="004E241E"/>
    <w:rsid w:val="004E3638"/>
    <w:rsid w:val="004E38EF"/>
    <w:rsid w:val="004E4650"/>
    <w:rsid w:val="004E5A4F"/>
    <w:rsid w:val="004E6CF6"/>
    <w:rsid w:val="004E6F80"/>
    <w:rsid w:val="004E78E5"/>
    <w:rsid w:val="004F043F"/>
    <w:rsid w:val="004F05A8"/>
    <w:rsid w:val="004F06CB"/>
    <w:rsid w:val="004F357E"/>
    <w:rsid w:val="004F461B"/>
    <w:rsid w:val="004F50CC"/>
    <w:rsid w:val="004F58BB"/>
    <w:rsid w:val="0050158A"/>
    <w:rsid w:val="00501D3D"/>
    <w:rsid w:val="005020C2"/>
    <w:rsid w:val="00502DB1"/>
    <w:rsid w:val="00502ED7"/>
    <w:rsid w:val="0050386F"/>
    <w:rsid w:val="005043C9"/>
    <w:rsid w:val="005064AA"/>
    <w:rsid w:val="00506CC6"/>
    <w:rsid w:val="005072A3"/>
    <w:rsid w:val="005079EF"/>
    <w:rsid w:val="00507E64"/>
    <w:rsid w:val="00510D55"/>
    <w:rsid w:val="005121E4"/>
    <w:rsid w:val="00514012"/>
    <w:rsid w:val="005146C6"/>
    <w:rsid w:val="0051495A"/>
    <w:rsid w:val="00515CC7"/>
    <w:rsid w:val="0051675B"/>
    <w:rsid w:val="005178D8"/>
    <w:rsid w:val="005204EC"/>
    <w:rsid w:val="00521E7D"/>
    <w:rsid w:val="0052291A"/>
    <w:rsid w:val="0052420D"/>
    <w:rsid w:val="005245A1"/>
    <w:rsid w:val="00527B03"/>
    <w:rsid w:val="005304E4"/>
    <w:rsid w:val="00530F0B"/>
    <w:rsid w:val="0053138A"/>
    <w:rsid w:val="005323F8"/>
    <w:rsid w:val="00532642"/>
    <w:rsid w:val="005329DB"/>
    <w:rsid w:val="00533AB7"/>
    <w:rsid w:val="0053770F"/>
    <w:rsid w:val="00537CF1"/>
    <w:rsid w:val="00537E1C"/>
    <w:rsid w:val="00540342"/>
    <w:rsid w:val="00540ECA"/>
    <w:rsid w:val="00542F27"/>
    <w:rsid w:val="00544FF5"/>
    <w:rsid w:val="005453AB"/>
    <w:rsid w:val="00546074"/>
    <w:rsid w:val="005460D0"/>
    <w:rsid w:val="005468AC"/>
    <w:rsid w:val="005477FC"/>
    <w:rsid w:val="00547877"/>
    <w:rsid w:val="00547947"/>
    <w:rsid w:val="0055026E"/>
    <w:rsid w:val="00550296"/>
    <w:rsid w:val="005509F8"/>
    <w:rsid w:val="00550DB6"/>
    <w:rsid w:val="00551898"/>
    <w:rsid w:val="00553A82"/>
    <w:rsid w:val="00553C6D"/>
    <w:rsid w:val="00553F24"/>
    <w:rsid w:val="00553FFB"/>
    <w:rsid w:val="0055439B"/>
    <w:rsid w:val="00554B38"/>
    <w:rsid w:val="00555246"/>
    <w:rsid w:val="005558DE"/>
    <w:rsid w:val="00555C85"/>
    <w:rsid w:val="00556283"/>
    <w:rsid w:val="00556ABC"/>
    <w:rsid w:val="00561366"/>
    <w:rsid w:val="005638CC"/>
    <w:rsid w:val="00563939"/>
    <w:rsid w:val="00563A6F"/>
    <w:rsid w:val="005641AD"/>
    <w:rsid w:val="00564C95"/>
    <w:rsid w:val="0056573A"/>
    <w:rsid w:val="00565BE3"/>
    <w:rsid w:val="00565BEC"/>
    <w:rsid w:val="005663BC"/>
    <w:rsid w:val="00567573"/>
    <w:rsid w:val="00570B9C"/>
    <w:rsid w:val="00571B54"/>
    <w:rsid w:val="00572657"/>
    <w:rsid w:val="00572DFB"/>
    <w:rsid w:val="005730FA"/>
    <w:rsid w:val="00574181"/>
    <w:rsid w:val="00575D59"/>
    <w:rsid w:val="00576A1D"/>
    <w:rsid w:val="00576A7F"/>
    <w:rsid w:val="00577646"/>
    <w:rsid w:val="005802EA"/>
    <w:rsid w:val="00580767"/>
    <w:rsid w:val="00581212"/>
    <w:rsid w:val="005823D5"/>
    <w:rsid w:val="00582F7D"/>
    <w:rsid w:val="0058335E"/>
    <w:rsid w:val="0058345F"/>
    <w:rsid w:val="00583A7D"/>
    <w:rsid w:val="00583C04"/>
    <w:rsid w:val="0058497E"/>
    <w:rsid w:val="00585AE7"/>
    <w:rsid w:val="00585B24"/>
    <w:rsid w:val="00586ECD"/>
    <w:rsid w:val="005870B9"/>
    <w:rsid w:val="00587B56"/>
    <w:rsid w:val="0059032A"/>
    <w:rsid w:val="005911CE"/>
    <w:rsid w:val="00591FF3"/>
    <w:rsid w:val="00592014"/>
    <w:rsid w:val="00592735"/>
    <w:rsid w:val="00594EAD"/>
    <w:rsid w:val="00595A6C"/>
    <w:rsid w:val="00597C08"/>
    <w:rsid w:val="005A017A"/>
    <w:rsid w:val="005A1980"/>
    <w:rsid w:val="005A3516"/>
    <w:rsid w:val="005A4686"/>
    <w:rsid w:val="005A5153"/>
    <w:rsid w:val="005A5C60"/>
    <w:rsid w:val="005A647F"/>
    <w:rsid w:val="005A6899"/>
    <w:rsid w:val="005A70B4"/>
    <w:rsid w:val="005B19E7"/>
    <w:rsid w:val="005B1E4A"/>
    <w:rsid w:val="005B1FFF"/>
    <w:rsid w:val="005B2699"/>
    <w:rsid w:val="005B2D8D"/>
    <w:rsid w:val="005B3F30"/>
    <w:rsid w:val="005B47CC"/>
    <w:rsid w:val="005B5062"/>
    <w:rsid w:val="005B519F"/>
    <w:rsid w:val="005B5281"/>
    <w:rsid w:val="005B61DA"/>
    <w:rsid w:val="005B7374"/>
    <w:rsid w:val="005B7616"/>
    <w:rsid w:val="005B7D06"/>
    <w:rsid w:val="005C0197"/>
    <w:rsid w:val="005C0A7B"/>
    <w:rsid w:val="005C1248"/>
    <w:rsid w:val="005C1607"/>
    <w:rsid w:val="005C21EE"/>
    <w:rsid w:val="005C2AE4"/>
    <w:rsid w:val="005C2C2D"/>
    <w:rsid w:val="005C35CC"/>
    <w:rsid w:val="005C3686"/>
    <w:rsid w:val="005C73D2"/>
    <w:rsid w:val="005D0414"/>
    <w:rsid w:val="005D0CBB"/>
    <w:rsid w:val="005D396C"/>
    <w:rsid w:val="005D3C55"/>
    <w:rsid w:val="005D5750"/>
    <w:rsid w:val="005D71CF"/>
    <w:rsid w:val="005E0816"/>
    <w:rsid w:val="005E15BB"/>
    <w:rsid w:val="005E190A"/>
    <w:rsid w:val="005E236C"/>
    <w:rsid w:val="005E2544"/>
    <w:rsid w:val="005E2E71"/>
    <w:rsid w:val="005E37B1"/>
    <w:rsid w:val="005E3A5D"/>
    <w:rsid w:val="005E7039"/>
    <w:rsid w:val="005F2277"/>
    <w:rsid w:val="005F2FE5"/>
    <w:rsid w:val="005F32C5"/>
    <w:rsid w:val="005F4419"/>
    <w:rsid w:val="005F4D55"/>
    <w:rsid w:val="005F4D87"/>
    <w:rsid w:val="005F5F6C"/>
    <w:rsid w:val="005F630A"/>
    <w:rsid w:val="005F63BB"/>
    <w:rsid w:val="005F6859"/>
    <w:rsid w:val="005F7091"/>
    <w:rsid w:val="00601336"/>
    <w:rsid w:val="00601573"/>
    <w:rsid w:val="0060162A"/>
    <w:rsid w:val="006019D4"/>
    <w:rsid w:val="006026AC"/>
    <w:rsid w:val="006033FA"/>
    <w:rsid w:val="006036E6"/>
    <w:rsid w:val="006046F7"/>
    <w:rsid w:val="0060576F"/>
    <w:rsid w:val="006076CC"/>
    <w:rsid w:val="0060777A"/>
    <w:rsid w:val="00607FFA"/>
    <w:rsid w:val="0061056F"/>
    <w:rsid w:val="0061095D"/>
    <w:rsid w:val="00610C00"/>
    <w:rsid w:val="00611112"/>
    <w:rsid w:val="00611150"/>
    <w:rsid w:val="006138A6"/>
    <w:rsid w:val="00613E76"/>
    <w:rsid w:val="00614496"/>
    <w:rsid w:val="006148B4"/>
    <w:rsid w:val="0061769C"/>
    <w:rsid w:val="00617B05"/>
    <w:rsid w:val="0062020B"/>
    <w:rsid w:val="0062166F"/>
    <w:rsid w:val="00621A84"/>
    <w:rsid w:val="00622349"/>
    <w:rsid w:val="00622DFA"/>
    <w:rsid w:val="00622ECD"/>
    <w:rsid w:val="00623CD8"/>
    <w:rsid w:val="00624FAC"/>
    <w:rsid w:val="0062647F"/>
    <w:rsid w:val="0062676F"/>
    <w:rsid w:val="006270B5"/>
    <w:rsid w:val="0063016E"/>
    <w:rsid w:val="00631344"/>
    <w:rsid w:val="0063206D"/>
    <w:rsid w:val="00632BC2"/>
    <w:rsid w:val="00632C8A"/>
    <w:rsid w:val="006344D9"/>
    <w:rsid w:val="006351B8"/>
    <w:rsid w:val="00635D72"/>
    <w:rsid w:val="006361FA"/>
    <w:rsid w:val="0064372D"/>
    <w:rsid w:val="00643942"/>
    <w:rsid w:val="00643ABE"/>
    <w:rsid w:val="006446DA"/>
    <w:rsid w:val="00646E00"/>
    <w:rsid w:val="00650577"/>
    <w:rsid w:val="00650CA8"/>
    <w:rsid w:val="00653E20"/>
    <w:rsid w:val="0065476B"/>
    <w:rsid w:val="00657BEB"/>
    <w:rsid w:val="00657FA5"/>
    <w:rsid w:val="0066027C"/>
    <w:rsid w:val="006603FC"/>
    <w:rsid w:val="00660E0E"/>
    <w:rsid w:val="0066129D"/>
    <w:rsid w:val="00661B00"/>
    <w:rsid w:val="00663317"/>
    <w:rsid w:val="00663AE9"/>
    <w:rsid w:val="00664CB0"/>
    <w:rsid w:val="00665017"/>
    <w:rsid w:val="00665957"/>
    <w:rsid w:val="00666942"/>
    <w:rsid w:val="00666D4F"/>
    <w:rsid w:val="0066734A"/>
    <w:rsid w:val="00670ED2"/>
    <w:rsid w:val="006713B7"/>
    <w:rsid w:val="00672036"/>
    <w:rsid w:val="006720F0"/>
    <w:rsid w:val="00672CFD"/>
    <w:rsid w:val="0067313B"/>
    <w:rsid w:val="0067391B"/>
    <w:rsid w:val="00674605"/>
    <w:rsid w:val="00675825"/>
    <w:rsid w:val="00677067"/>
    <w:rsid w:val="00677491"/>
    <w:rsid w:val="00677E55"/>
    <w:rsid w:val="006826D2"/>
    <w:rsid w:val="00684873"/>
    <w:rsid w:val="0068659B"/>
    <w:rsid w:val="0069058B"/>
    <w:rsid w:val="006907AB"/>
    <w:rsid w:val="00692786"/>
    <w:rsid w:val="0069328B"/>
    <w:rsid w:val="00693653"/>
    <w:rsid w:val="006942AB"/>
    <w:rsid w:val="00694EED"/>
    <w:rsid w:val="006964B2"/>
    <w:rsid w:val="00697207"/>
    <w:rsid w:val="00697C1E"/>
    <w:rsid w:val="006A01AA"/>
    <w:rsid w:val="006A05A0"/>
    <w:rsid w:val="006A0752"/>
    <w:rsid w:val="006A4137"/>
    <w:rsid w:val="006A451B"/>
    <w:rsid w:val="006A6B64"/>
    <w:rsid w:val="006A6DB2"/>
    <w:rsid w:val="006A70F5"/>
    <w:rsid w:val="006A793D"/>
    <w:rsid w:val="006A7A9A"/>
    <w:rsid w:val="006A7C91"/>
    <w:rsid w:val="006B11AE"/>
    <w:rsid w:val="006B177F"/>
    <w:rsid w:val="006B1D06"/>
    <w:rsid w:val="006B3AF0"/>
    <w:rsid w:val="006B476C"/>
    <w:rsid w:val="006B56CC"/>
    <w:rsid w:val="006B5C1C"/>
    <w:rsid w:val="006B605E"/>
    <w:rsid w:val="006B7100"/>
    <w:rsid w:val="006B7171"/>
    <w:rsid w:val="006B7A6C"/>
    <w:rsid w:val="006C0262"/>
    <w:rsid w:val="006C0CBC"/>
    <w:rsid w:val="006C10B9"/>
    <w:rsid w:val="006C176A"/>
    <w:rsid w:val="006C1A35"/>
    <w:rsid w:val="006C2B6B"/>
    <w:rsid w:val="006C2B6F"/>
    <w:rsid w:val="006C322B"/>
    <w:rsid w:val="006C381C"/>
    <w:rsid w:val="006C3FEA"/>
    <w:rsid w:val="006C4057"/>
    <w:rsid w:val="006C4214"/>
    <w:rsid w:val="006C4506"/>
    <w:rsid w:val="006C4C1C"/>
    <w:rsid w:val="006C4DDC"/>
    <w:rsid w:val="006C5263"/>
    <w:rsid w:val="006C635B"/>
    <w:rsid w:val="006C6D0D"/>
    <w:rsid w:val="006C6EC8"/>
    <w:rsid w:val="006C7AC2"/>
    <w:rsid w:val="006D2578"/>
    <w:rsid w:val="006D3281"/>
    <w:rsid w:val="006D4AB6"/>
    <w:rsid w:val="006D4BF3"/>
    <w:rsid w:val="006D58C7"/>
    <w:rsid w:val="006D60F3"/>
    <w:rsid w:val="006D74BA"/>
    <w:rsid w:val="006D78D0"/>
    <w:rsid w:val="006E23F2"/>
    <w:rsid w:val="006E296D"/>
    <w:rsid w:val="006E30EB"/>
    <w:rsid w:val="006E3559"/>
    <w:rsid w:val="006E432B"/>
    <w:rsid w:val="006E47CC"/>
    <w:rsid w:val="006E4D21"/>
    <w:rsid w:val="006E790F"/>
    <w:rsid w:val="006F11D5"/>
    <w:rsid w:val="006F1B23"/>
    <w:rsid w:val="006F1B41"/>
    <w:rsid w:val="006F1BCF"/>
    <w:rsid w:val="006F1F4B"/>
    <w:rsid w:val="006F3267"/>
    <w:rsid w:val="006F38E5"/>
    <w:rsid w:val="006F4775"/>
    <w:rsid w:val="006F5573"/>
    <w:rsid w:val="006F5C46"/>
    <w:rsid w:val="006F6635"/>
    <w:rsid w:val="006F7106"/>
    <w:rsid w:val="006F7C03"/>
    <w:rsid w:val="006F7C26"/>
    <w:rsid w:val="007000D1"/>
    <w:rsid w:val="00702598"/>
    <w:rsid w:val="00703999"/>
    <w:rsid w:val="007045CA"/>
    <w:rsid w:val="007045D4"/>
    <w:rsid w:val="00706974"/>
    <w:rsid w:val="0070772C"/>
    <w:rsid w:val="0070786D"/>
    <w:rsid w:val="00710F1D"/>
    <w:rsid w:val="007110B3"/>
    <w:rsid w:val="0071156D"/>
    <w:rsid w:val="00711FFC"/>
    <w:rsid w:val="007123D1"/>
    <w:rsid w:val="00713FF8"/>
    <w:rsid w:val="00714114"/>
    <w:rsid w:val="0071432A"/>
    <w:rsid w:val="00714ACF"/>
    <w:rsid w:val="00715532"/>
    <w:rsid w:val="0071576B"/>
    <w:rsid w:val="0071682E"/>
    <w:rsid w:val="00716F64"/>
    <w:rsid w:val="00717D38"/>
    <w:rsid w:val="00720E7B"/>
    <w:rsid w:val="007217E3"/>
    <w:rsid w:val="007256D2"/>
    <w:rsid w:val="00727370"/>
    <w:rsid w:val="0072739A"/>
    <w:rsid w:val="007273DE"/>
    <w:rsid w:val="007273EB"/>
    <w:rsid w:val="007277F8"/>
    <w:rsid w:val="00732F1E"/>
    <w:rsid w:val="00733BB1"/>
    <w:rsid w:val="00734B9F"/>
    <w:rsid w:val="007369AB"/>
    <w:rsid w:val="00740187"/>
    <w:rsid w:val="007407CF"/>
    <w:rsid w:val="00740FDF"/>
    <w:rsid w:val="007416B4"/>
    <w:rsid w:val="00741D52"/>
    <w:rsid w:val="00743A48"/>
    <w:rsid w:val="00743B8E"/>
    <w:rsid w:val="007443F4"/>
    <w:rsid w:val="007451BA"/>
    <w:rsid w:val="00745D96"/>
    <w:rsid w:val="00746537"/>
    <w:rsid w:val="00750A00"/>
    <w:rsid w:val="00751B59"/>
    <w:rsid w:val="00751FF2"/>
    <w:rsid w:val="00752C27"/>
    <w:rsid w:val="00753395"/>
    <w:rsid w:val="00753C84"/>
    <w:rsid w:val="00754DC0"/>
    <w:rsid w:val="0075594F"/>
    <w:rsid w:val="00755BD8"/>
    <w:rsid w:val="0075771B"/>
    <w:rsid w:val="00757A01"/>
    <w:rsid w:val="007600BD"/>
    <w:rsid w:val="00760C43"/>
    <w:rsid w:val="007611D0"/>
    <w:rsid w:val="007616A7"/>
    <w:rsid w:val="0076218C"/>
    <w:rsid w:val="00762FF0"/>
    <w:rsid w:val="00766860"/>
    <w:rsid w:val="00766A29"/>
    <w:rsid w:val="00766CE2"/>
    <w:rsid w:val="00767928"/>
    <w:rsid w:val="00771D07"/>
    <w:rsid w:val="00772327"/>
    <w:rsid w:val="00772A2F"/>
    <w:rsid w:val="00772A55"/>
    <w:rsid w:val="007731D3"/>
    <w:rsid w:val="00773A45"/>
    <w:rsid w:val="007740E4"/>
    <w:rsid w:val="00775076"/>
    <w:rsid w:val="007774DD"/>
    <w:rsid w:val="0078067A"/>
    <w:rsid w:val="007818C9"/>
    <w:rsid w:val="007820BE"/>
    <w:rsid w:val="00782111"/>
    <w:rsid w:val="007822E8"/>
    <w:rsid w:val="00782583"/>
    <w:rsid w:val="007828CB"/>
    <w:rsid w:val="00782FBB"/>
    <w:rsid w:val="007842FB"/>
    <w:rsid w:val="0078435D"/>
    <w:rsid w:val="00786B57"/>
    <w:rsid w:val="007872B5"/>
    <w:rsid w:val="00791792"/>
    <w:rsid w:val="00794606"/>
    <w:rsid w:val="00795775"/>
    <w:rsid w:val="00795A32"/>
    <w:rsid w:val="00797A93"/>
    <w:rsid w:val="00797B57"/>
    <w:rsid w:val="007A0C01"/>
    <w:rsid w:val="007A4F23"/>
    <w:rsid w:val="007A7153"/>
    <w:rsid w:val="007A7359"/>
    <w:rsid w:val="007A7A2A"/>
    <w:rsid w:val="007A7C7E"/>
    <w:rsid w:val="007B09DF"/>
    <w:rsid w:val="007B0C0B"/>
    <w:rsid w:val="007B130B"/>
    <w:rsid w:val="007B360E"/>
    <w:rsid w:val="007B4D06"/>
    <w:rsid w:val="007B57F4"/>
    <w:rsid w:val="007B76EC"/>
    <w:rsid w:val="007B7FAA"/>
    <w:rsid w:val="007C04C5"/>
    <w:rsid w:val="007C28CA"/>
    <w:rsid w:val="007C309B"/>
    <w:rsid w:val="007C31F7"/>
    <w:rsid w:val="007C3A5A"/>
    <w:rsid w:val="007C40C5"/>
    <w:rsid w:val="007C4BDB"/>
    <w:rsid w:val="007C5C9E"/>
    <w:rsid w:val="007C62DA"/>
    <w:rsid w:val="007C6FDA"/>
    <w:rsid w:val="007C6FFF"/>
    <w:rsid w:val="007C71ED"/>
    <w:rsid w:val="007C78EB"/>
    <w:rsid w:val="007C7B04"/>
    <w:rsid w:val="007D02ED"/>
    <w:rsid w:val="007D104B"/>
    <w:rsid w:val="007D5234"/>
    <w:rsid w:val="007D5B0A"/>
    <w:rsid w:val="007D5CF8"/>
    <w:rsid w:val="007D5D7C"/>
    <w:rsid w:val="007D5DF1"/>
    <w:rsid w:val="007D6302"/>
    <w:rsid w:val="007D7E3B"/>
    <w:rsid w:val="007E02C9"/>
    <w:rsid w:val="007E3FF1"/>
    <w:rsid w:val="007E48B9"/>
    <w:rsid w:val="007E4E61"/>
    <w:rsid w:val="007E4E8F"/>
    <w:rsid w:val="007E5471"/>
    <w:rsid w:val="007E646A"/>
    <w:rsid w:val="007E6C47"/>
    <w:rsid w:val="007E7324"/>
    <w:rsid w:val="007E7464"/>
    <w:rsid w:val="007E79BA"/>
    <w:rsid w:val="007E7A9A"/>
    <w:rsid w:val="007F0448"/>
    <w:rsid w:val="007F059E"/>
    <w:rsid w:val="007F16E1"/>
    <w:rsid w:val="007F19B7"/>
    <w:rsid w:val="007F32B8"/>
    <w:rsid w:val="007F340C"/>
    <w:rsid w:val="007F36B1"/>
    <w:rsid w:val="007F3836"/>
    <w:rsid w:val="007F415E"/>
    <w:rsid w:val="007F583E"/>
    <w:rsid w:val="007F5B44"/>
    <w:rsid w:val="007F70D2"/>
    <w:rsid w:val="007F7729"/>
    <w:rsid w:val="0080046A"/>
    <w:rsid w:val="0080094E"/>
    <w:rsid w:val="00801089"/>
    <w:rsid w:val="008017B9"/>
    <w:rsid w:val="008017CF"/>
    <w:rsid w:val="00801BAA"/>
    <w:rsid w:val="00803169"/>
    <w:rsid w:val="008041D5"/>
    <w:rsid w:val="00805735"/>
    <w:rsid w:val="00805F97"/>
    <w:rsid w:val="00807645"/>
    <w:rsid w:val="00810637"/>
    <w:rsid w:val="00810821"/>
    <w:rsid w:val="008109A8"/>
    <w:rsid w:val="00810C06"/>
    <w:rsid w:val="00811243"/>
    <w:rsid w:val="0081378F"/>
    <w:rsid w:val="00814A1F"/>
    <w:rsid w:val="00814AD2"/>
    <w:rsid w:val="00815BC2"/>
    <w:rsid w:val="00815D85"/>
    <w:rsid w:val="00816368"/>
    <w:rsid w:val="00816702"/>
    <w:rsid w:val="00816DB6"/>
    <w:rsid w:val="00816EF6"/>
    <w:rsid w:val="00816F6D"/>
    <w:rsid w:val="008177F9"/>
    <w:rsid w:val="00820946"/>
    <w:rsid w:val="00822715"/>
    <w:rsid w:val="00822849"/>
    <w:rsid w:val="008229C8"/>
    <w:rsid w:val="00823686"/>
    <w:rsid w:val="008239FA"/>
    <w:rsid w:val="00824AB0"/>
    <w:rsid w:val="00824C7B"/>
    <w:rsid w:val="00825E18"/>
    <w:rsid w:val="00825F25"/>
    <w:rsid w:val="00826A64"/>
    <w:rsid w:val="00827853"/>
    <w:rsid w:val="00827961"/>
    <w:rsid w:val="008307E2"/>
    <w:rsid w:val="00830D12"/>
    <w:rsid w:val="0083144F"/>
    <w:rsid w:val="00831E1B"/>
    <w:rsid w:val="00832279"/>
    <w:rsid w:val="008341AF"/>
    <w:rsid w:val="008346A7"/>
    <w:rsid w:val="00834DF4"/>
    <w:rsid w:val="00835037"/>
    <w:rsid w:val="008357D7"/>
    <w:rsid w:val="008358D1"/>
    <w:rsid w:val="00835D9A"/>
    <w:rsid w:val="00836B27"/>
    <w:rsid w:val="00837F8B"/>
    <w:rsid w:val="00840219"/>
    <w:rsid w:val="00840A7A"/>
    <w:rsid w:val="008427BE"/>
    <w:rsid w:val="00844764"/>
    <w:rsid w:val="008456A7"/>
    <w:rsid w:val="00845BF2"/>
    <w:rsid w:val="00846D19"/>
    <w:rsid w:val="008472EC"/>
    <w:rsid w:val="008479D0"/>
    <w:rsid w:val="0085078C"/>
    <w:rsid w:val="00851156"/>
    <w:rsid w:val="0085233F"/>
    <w:rsid w:val="008534AA"/>
    <w:rsid w:val="00853AAB"/>
    <w:rsid w:val="0085451B"/>
    <w:rsid w:val="00854F8F"/>
    <w:rsid w:val="00855A6C"/>
    <w:rsid w:val="00856BB5"/>
    <w:rsid w:val="00857389"/>
    <w:rsid w:val="0086096D"/>
    <w:rsid w:val="00860AB6"/>
    <w:rsid w:val="00860CE6"/>
    <w:rsid w:val="00861003"/>
    <w:rsid w:val="0086295C"/>
    <w:rsid w:val="00862CB6"/>
    <w:rsid w:val="00863094"/>
    <w:rsid w:val="00863955"/>
    <w:rsid w:val="00864367"/>
    <w:rsid w:val="00865970"/>
    <w:rsid w:val="00866DB1"/>
    <w:rsid w:val="008672F7"/>
    <w:rsid w:val="008707D6"/>
    <w:rsid w:val="00870F14"/>
    <w:rsid w:val="008724D9"/>
    <w:rsid w:val="00872B06"/>
    <w:rsid w:val="00873282"/>
    <w:rsid w:val="00873663"/>
    <w:rsid w:val="00874654"/>
    <w:rsid w:val="0087597C"/>
    <w:rsid w:val="00876B06"/>
    <w:rsid w:val="00876DC2"/>
    <w:rsid w:val="00877618"/>
    <w:rsid w:val="00877DDB"/>
    <w:rsid w:val="008805A2"/>
    <w:rsid w:val="0088127D"/>
    <w:rsid w:val="008813E0"/>
    <w:rsid w:val="008822AE"/>
    <w:rsid w:val="00882380"/>
    <w:rsid w:val="008832B1"/>
    <w:rsid w:val="0088548B"/>
    <w:rsid w:val="0088719E"/>
    <w:rsid w:val="00890F52"/>
    <w:rsid w:val="00891B98"/>
    <w:rsid w:val="00891BC0"/>
    <w:rsid w:val="008923BA"/>
    <w:rsid w:val="00893397"/>
    <w:rsid w:val="0089372C"/>
    <w:rsid w:val="008948F8"/>
    <w:rsid w:val="008954C8"/>
    <w:rsid w:val="008958DA"/>
    <w:rsid w:val="008969EE"/>
    <w:rsid w:val="00897B57"/>
    <w:rsid w:val="008A0040"/>
    <w:rsid w:val="008A1449"/>
    <w:rsid w:val="008A2F40"/>
    <w:rsid w:val="008A4500"/>
    <w:rsid w:val="008A4F4B"/>
    <w:rsid w:val="008A5099"/>
    <w:rsid w:val="008A535A"/>
    <w:rsid w:val="008B0212"/>
    <w:rsid w:val="008B03CC"/>
    <w:rsid w:val="008B10DE"/>
    <w:rsid w:val="008B2907"/>
    <w:rsid w:val="008B3E83"/>
    <w:rsid w:val="008B45EA"/>
    <w:rsid w:val="008B525F"/>
    <w:rsid w:val="008B596F"/>
    <w:rsid w:val="008B5DC1"/>
    <w:rsid w:val="008B5F71"/>
    <w:rsid w:val="008B6857"/>
    <w:rsid w:val="008B713A"/>
    <w:rsid w:val="008C0F63"/>
    <w:rsid w:val="008C0FEB"/>
    <w:rsid w:val="008C2102"/>
    <w:rsid w:val="008C3598"/>
    <w:rsid w:val="008C519B"/>
    <w:rsid w:val="008C5AC4"/>
    <w:rsid w:val="008D0FBB"/>
    <w:rsid w:val="008D0FD8"/>
    <w:rsid w:val="008D15D1"/>
    <w:rsid w:val="008D20B7"/>
    <w:rsid w:val="008D2688"/>
    <w:rsid w:val="008D2714"/>
    <w:rsid w:val="008D2B86"/>
    <w:rsid w:val="008D3F48"/>
    <w:rsid w:val="008D4BB6"/>
    <w:rsid w:val="008D5327"/>
    <w:rsid w:val="008D61F9"/>
    <w:rsid w:val="008D6479"/>
    <w:rsid w:val="008D67A4"/>
    <w:rsid w:val="008D6C87"/>
    <w:rsid w:val="008E0B1E"/>
    <w:rsid w:val="008E33AA"/>
    <w:rsid w:val="008E450C"/>
    <w:rsid w:val="008E475F"/>
    <w:rsid w:val="008E52A0"/>
    <w:rsid w:val="008E56B6"/>
    <w:rsid w:val="008E6260"/>
    <w:rsid w:val="008E6467"/>
    <w:rsid w:val="008E6D94"/>
    <w:rsid w:val="008E7089"/>
    <w:rsid w:val="008E72C3"/>
    <w:rsid w:val="008E75FC"/>
    <w:rsid w:val="008F085A"/>
    <w:rsid w:val="008F0C58"/>
    <w:rsid w:val="008F183D"/>
    <w:rsid w:val="008F4351"/>
    <w:rsid w:val="008F497E"/>
    <w:rsid w:val="008F538C"/>
    <w:rsid w:val="008F56C7"/>
    <w:rsid w:val="0090086B"/>
    <w:rsid w:val="00900FC1"/>
    <w:rsid w:val="00902987"/>
    <w:rsid w:val="00902BE7"/>
    <w:rsid w:val="00903F72"/>
    <w:rsid w:val="00906487"/>
    <w:rsid w:val="00907643"/>
    <w:rsid w:val="00911164"/>
    <w:rsid w:val="00911FA9"/>
    <w:rsid w:val="00912138"/>
    <w:rsid w:val="00912F92"/>
    <w:rsid w:val="0091385C"/>
    <w:rsid w:val="0091484B"/>
    <w:rsid w:val="009152D3"/>
    <w:rsid w:val="00915E16"/>
    <w:rsid w:val="00917F4D"/>
    <w:rsid w:val="0092033C"/>
    <w:rsid w:val="00920691"/>
    <w:rsid w:val="00920F07"/>
    <w:rsid w:val="00920F26"/>
    <w:rsid w:val="00921899"/>
    <w:rsid w:val="00922741"/>
    <w:rsid w:val="00922A0F"/>
    <w:rsid w:val="00924D0A"/>
    <w:rsid w:val="009260F6"/>
    <w:rsid w:val="009307DA"/>
    <w:rsid w:val="00930A71"/>
    <w:rsid w:val="0093188B"/>
    <w:rsid w:val="009319B9"/>
    <w:rsid w:val="00932831"/>
    <w:rsid w:val="009328ED"/>
    <w:rsid w:val="0093307B"/>
    <w:rsid w:val="00933C09"/>
    <w:rsid w:val="00934A9B"/>
    <w:rsid w:val="00937577"/>
    <w:rsid w:val="009408F6"/>
    <w:rsid w:val="00940EBA"/>
    <w:rsid w:val="009428E3"/>
    <w:rsid w:val="00943F97"/>
    <w:rsid w:val="009446F2"/>
    <w:rsid w:val="00945177"/>
    <w:rsid w:val="00945D0A"/>
    <w:rsid w:val="009501CF"/>
    <w:rsid w:val="00950F06"/>
    <w:rsid w:val="00950F9A"/>
    <w:rsid w:val="00950FDE"/>
    <w:rsid w:val="00951234"/>
    <w:rsid w:val="0095139B"/>
    <w:rsid w:val="00951CF0"/>
    <w:rsid w:val="0095234B"/>
    <w:rsid w:val="0095269B"/>
    <w:rsid w:val="009529A2"/>
    <w:rsid w:val="009529A9"/>
    <w:rsid w:val="009530F9"/>
    <w:rsid w:val="00953C18"/>
    <w:rsid w:val="00953C43"/>
    <w:rsid w:val="009544A6"/>
    <w:rsid w:val="00954D97"/>
    <w:rsid w:val="009558DA"/>
    <w:rsid w:val="009563D7"/>
    <w:rsid w:val="0095731C"/>
    <w:rsid w:val="0096178A"/>
    <w:rsid w:val="00962066"/>
    <w:rsid w:val="0096216E"/>
    <w:rsid w:val="0096243A"/>
    <w:rsid w:val="009625B0"/>
    <w:rsid w:val="00962CB2"/>
    <w:rsid w:val="009632D6"/>
    <w:rsid w:val="00963DB6"/>
    <w:rsid w:val="00965A09"/>
    <w:rsid w:val="00965B89"/>
    <w:rsid w:val="00965DF2"/>
    <w:rsid w:val="00965FFC"/>
    <w:rsid w:val="009669D7"/>
    <w:rsid w:val="00966FE8"/>
    <w:rsid w:val="00970013"/>
    <w:rsid w:val="0097045E"/>
    <w:rsid w:val="00970EB6"/>
    <w:rsid w:val="009710DC"/>
    <w:rsid w:val="00971E7C"/>
    <w:rsid w:val="00972C0A"/>
    <w:rsid w:val="009741DE"/>
    <w:rsid w:val="00974304"/>
    <w:rsid w:val="009748AF"/>
    <w:rsid w:val="00974BD4"/>
    <w:rsid w:val="009821AE"/>
    <w:rsid w:val="009823F4"/>
    <w:rsid w:val="00983BB1"/>
    <w:rsid w:val="00983C18"/>
    <w:rsid w:val="00984201"/>
    <w:rsid w:val="00987C04"/>
    <w:rsid w:val="00990DA2"/>
    <w:rsid w:val="00993042"/>
    <w:rsid w:val="009939F4"/>
    <w:rsid w:val="0099400E"/>
    <w:rsid w:val="009940B2"/>
    <w:rsid w:val="00994B4C"/>
    <w:rsid w:val="00994DC8"/>
    <w:rsid w:val="00995C2A"/>
    <w:rsid w:val="009966F3"/>
    <w:rsid w:val="009969BD"/>
    <w:rsid w:val="009A05D2"/>
    <w:rsid w:val="009A2858"/>
    <w:rsid w:val="009A3C8E"/>
    <w:rsid w:val="009A423B"/>
    <w:rsid w:val="009A466D"/>
    <w:rsid w:val="009A603D"/>
    <w:rsid w:val="009A6181"/>
    <w:rsid w:val="009A6322"/>
    <w:rsid w:val="009A70A1"/>
    <w:rsid w:val="009A70EB"/>
    <w:rsid w:val="009A7108"/>
    <w:rsid w:val="009A72B6"/>
    <w:rsid w:val="009B0A2C"/>
    <w:rsid w:val="009B0B87"/>
    <w:rsid w:val="009B1DA7"/>
    <w:rsid w:val="009B29B9"/>
    <w:rsid w:val="009B3A14"/>
    <w:rsid w:val="009B4FD1"/>
    <w:rsid w:val="009B5852"/>
    <w:rsid w:val="009B64D9"/>
    <w:rsid w:val="009B703E"/>
    <w:rsid w:val="009C0C0B"/>
    <w:rsid w:val="009C130E"/>
    <w:rsid w:val="009C1DF6"/>
    <w:rsid w:val="009C371E"/>
    <w:rsid w:val="009C43AA"/>
    <w:rsid w:val="009C4AE2"/>
    <w:rsid w:val="009C4D94"/>
    <w:rsid w:val="009C63E3"/>
    <w:rsid w:val="009C6EC2"/>
    <w:rsid w:val="009C72CC"/>
    <w:rsid w:val="009C7786"/>
    <w:rsid w:val="009D0AA9"/>
    <w:rsid w:val="009D0F31"/>
    <w:rsid w:val="009D4E76"/>
    <w:rsid w:val="009E0229"/>
    <w:rsid w:val="009E02AA"/>
    <w:rsid w:val="009E0EF8"/>
    <w:rsid w:val="009E242A"/>
    <w:rsid w:val="009E2600"/>
    <w:rsid w:val="009E2D0D"/>
    <w:rsid w:val="009E3BF0"/>
    <w:rsid w:val="009E6227"/>
    <w:rsid w:val="009E66B9"/>
    <w:rsid w:val="009E69C3"/>
    <w:rsid w:val="009E6E50"/>
    <w:rsid w:val="009E7637"/>
    <w:rsid w:val="009F01C2"/>
    <w:rsid w:val="009F0848"/>
    <w:rsid w:val="009F0F78"/>
    <w:rsid w:val="009F15DB"/>
    <w:rsid w:val="009F24D5"/>
    <w:rsid w:val="009F2528"/>
    <w:rsid w:val="009F2936"/>
    <w:rsid w:val="009F3004"/>
    <w:rsid w:val="009F371D"/>
    <w:rsid w:val="009F56B6"/>
    <w:rsid w:val="009F5840"/>
    <w:rsid w:val="009F5843"/>
    <w:rsid w:val="009F598F"/>
    <w:rsid w:val="009F6240"/>
    <w:rsid w:val="00A009BA"/>
    <w:rsid w:val="00A00FB9"/>
    <w:rsid w:val="00A01257"/>
    <w:rsid w:val="00A01279"/>
    <w:rsid w:val="00A0216B"/>
    <w:rsid w:val="00A02800"/>
    <w:rsid w:val="00A07685"/>
    <w:rsid w:val="00A07DF8"/>
    <w:rsid w:val="00A11C97"/>
    <w:rsid w:val="00A12A1C"/>
    <w:rsid w:val="00A134A6"/>
    <w:rsid w:val="00A139FA"/>
    <w:rsid w:val="00A13BCB"/>
    <w:rsid w:val="00A1661A"/>
    <w:rsid w:val="00A17045"/>
    <w:rsid w:val="00A21282"/>
    <w:rsid w:val="00A21E28"/>
    <w:rsid w:val="00A22960"/>
    <w:rsid w:val="00A22CB0"/>
    <w:rsid w:val="00A22F45"/>
    <w:rsid w:val="00A2335D"/>
    <w:rsid w:val="00A23704"/>
    <w:rsid w:val="00A23CC6"/>
    <w:rsid w:val="00A26376"/>
    <w:rsid w:val="00A26397"/>
    <w:rsid w:val="00A26C47"/>
    <w:rsid w:val="00A26FD5"/>
    <w:rsid w:val="00A27D1A"/>
    <w:rsid w:val="00A30DC8"/>
    <w:rsid w:val="00A31724"/>
    <w:rsid w:val="00A31D17"/>
    <w:rsid w:val="00A32A8D"/>
    <w:rsid w:val="00A3611E"/>
    <w:rsid w:val="00A36E6B"/>
    <w:rsid w:val="00A40404"/>
    <w:rsid w:val="00A4077C"/>
    <w:rsid w:val="00A41499"/>
    <w:rsid w:val="00A415D9"/>
    <w:rsid w:val="00A4176F"/>
    <w:rsid w:val="00A42732"/>
    <w:rsid w:val="00A428DA"/>
    <w:rsid w:val="00A433C0"/>
    <w:rsid w:val="00A4528B"/>
    <w:rsid w:val="00A45554"/>
    <w:rsid w:val="00A455ED"/>
    <w:rsid w:val="00A45D69"/>
    <w:rsid w:val="00A45F58"/>
    <w:rsid w:val="00A47636"/>
    <w:rsid w:val="00A47698"/>
    <w:rsid w:val="00A5078E"/>
    <w:rsid w:val="00A5163A"/>
    <w:rsid w:val="00A53126"/>
    <w:rsid w:val="00A5327E"/>
    <w:rsid w:val="00A54E19"/>
    <w:rsid w:val="00A562C8"/>
    <w:rsid w:val="00A56CFD"/>
    <w:rsid w:val="00A57649"/>
    <w:rsid w:val="00A60A44"/>
    <w:rsid w:val="00A61041"/>
    <w:rsid w:val="00A616CB"/>
    <w:rsid w:val="00A6252D"/>
    <w:rsid w:val="00A631BD"/>
    <w:rsid w:val="00A65450"/>
    <w:rsid w:val="00A666C4"/>
    <w:rsid w:val="00A66C2A"/>
    <w:rsid w:val="00A66F30"/>
    <w:rsid w:val="00A67CDD"/>
    <w:rsid w:val="00A7065A"/>
    <w:rsid w:val="00A70FDC"/>
    <w:rsid w:val="00A720BD"/>
    <w:rsid w:val="00A72662"/>
    <w:rsid w:val="00A732AD"/>
    <w:rsid w:val="00A736B2"/>
    <w:rsid w:val="00A73A4C"/>
    <w:rsid w:val="00A73FA8"/>
    <w:rsid w:val="00A747BC"/>
    <w:rsid w:val="00A76CA5"/>
    <w:rsid w:val="00A771EE"/>
    <w:rsid w:val="00A808AD"/>
    <w:rsid w:val="00A82FD3"/>
    <w:rsid w:val="00A836EC"/>
    <w:rsid w:val="00A839D3"/>
    <w:rsid w:val="00A83D34"/>
    <w:rsid w:val="00A86883"/>
    <w:rsid w:val="00A86B80"/>
    <w:rsid w:val="00A87E56"/>
    <w:rsid w:val="00A9033D"/>
    <w:rsid w:val="00A9314B"/>
    <w:rsid w:val="00A945AC"/>
    <w:rsid w:val="00A95627"/>
    <w:rsid w:val="00A95CF4"/>
    <w:rsid w:val="00A97E2B"/>
    <w:rsid w:val="00AA120F"/>
    <w:rsid w:val="00AA23D3"/>
    <w:rsid w:val="00AA2F77"/>
    <w:rsid w:val="00AA33B7"/>
    <w:rsid w:val="00AA3A9D"/>
    <w:rsid w:val="00AA3EDC"/>
    <w:rsid w:val="00AA44DA"/>
    <w:rsid w:val="00AA4777"/>
    <w:rsid w:val="00AA501A"/>
    <w:rsid w:val="00AA77FA"/>
    <w:rsid w:val="00AA7C11"/>
    <w:rsid w:val="00AA7C2E"/>
    <w:rsid w:val="00AA7D87"/>
    <w:rsid w:val="00AB144B"/>
    <w:rsid w:val="00AB2318"/>
    <w:rsid w:val="00AB46C3"/>
    <w:rsid w:val="00AB57B5"/>
    <w:rsid w:val="00AB5E2F"/>
    <w:rsid w:val="00AB601C"/>
    <w:rsid w:val="00AB6423"/>
    <w:rsid w:val="00AC0317"/>
    <w:rsid w:val="00AC0E22"/>
    <w:rsid w:val="00AC27EA"/>
    <w:rsid w:val="00AC2BE2"/>
    <w:rsid w:val="00AC3679"/>
    <w:rsid w:val="00AC3BFF"/>
    <w:rsid w:val="00AC6491"/>
    <w:rsid w:val="00AD2AC3"/>
    <w:rsid w:val="00AD34F3"/>
    <w:rsid w:val="00AD519D"/>
    <w:rsid w:val="00AE0476"/>
    <w:rsid w:val="00AE0511"/>
    <w:rsid w:val="00AE0C6D"/>
    <w:rsid w:val="00AE0DB2"/>
    <w:rsid w:val="00AE11A4"/>
    <w:rsid w:val="00AE344A"/>
    <w:rsid w:val="00AE3525"/>
    <w:rsid w:val="00AE3693"/>
    <w:rsid w:val="00AE394E"/>
    <w:rsid w:val="00AE4166"/>
    <w:rsid w:val="00AE42F9"/>
    <w:rsid w:val="00AE6641"/>
    <w:rsid w:val="00AE6A10"/>
    <w:rsid w:val="00AE6B65"/>
    <w:rsid w:val="00AE7453"/>
    <w:rsid w:val="00AE7856"/>
    <w:rsid w:val="00AE7ADC"/>
    <w:rsid w:val="00AE7F38"/>
    <w:rsid w:val="00AF16CF"/>
    <w:rsid w:val="00AF36C3"/>
    <w:rsid w:val="00AF3BBB"/>
    <w:rsid w:val="00AF4125"/>
    <w:rsid w:val="00AF4607"/>
    <w:rsid w:val="00AF4891"/>
    <w:rsid w:val="00AF4F87"/>
    <w:rsid w:val="00AF5FAE"/>
    <w:rsid w:val="00B02471"/>
    <w:rsid w:val="00B02D3E"/>
    <w:rsid w:val="00B02F37"/>
    <w:rsid w:val="00B03096"/>
    <w:rsid w:val="00B04440"/>
    <w:rsid w:val="00B04C10"/>
    <w:rsid w:val="00B077DB"/>
    <w:rsid w:val="00B12420"/>
    <w:rsid w:val="00B1310A"/>
    <w:rsid w:val="00B13299"/>
    <w:rsid w:val="00B167F1"/>
    <w:rsid w:val="00B1684E"/>
    <w:rsid w:val="00B1768C"/>
    <w:rsid w:val="00B17ABF"/>
    <w:rsid w:val="00B17F1A"/>
    <w:rsid w:val="00B17FEF"/>
    <w:rsid w:val="00B20CAB"/>
    <w:rsid w:val="00B23181"/>
    <w:rsid w:val="00B24DF7"/>
    <w:rsid w:val="00B257CC"/>
    <w:rsid w:val="00B260BF"/>
    <w:rsid w:val="00B30679"/>
    <w:rsid w:val="00B30D07"/>
    <w:rsid w:val="00B30EA8"/>
    <w:rsid w:val="00B31D7D"/>
    <w:rsid w:val="00B3248A"/>
    <w:rsid w:val="00B33805"/>
    <w:rsid w:val="00B3439A"/>
    <w:rsid w:val="00B349B8"/>
    <w:rsid w:val="00B3571D"/>
    <w:rsid w:val="00B36A8C"/>
    <w:rsid w:val="00B36FEE"/>
    <w:rsid w:val="00B37772"/>
    <w:rsid w:val="00B37AB0"/>
    <w:rsid w:val="00B37F5F"/>
    <w:rsid w:val="00B41859"/>
    <w:rsid w:val="00B42BD1"/>
    <w:rsid w:val="00B42E7C"/>
    <w:rsid w:val="00B433F9"/>
    <w:rsid w:val="00B44007"/>
    <w:rsid w:val="00B448AB"/>
    <w:rsid w:val="00B44E45"/>
    <w:rsid w:val="00B455BA"/>
    <w:rsid w:val="00B4667B"/>
    <w:rsid w:val="00B468C1"/>
    <w:rsid w:val="00B47668"/>
    <w:rsid w:val="00B50055"/>
    <w:rsid w:val="00B50D69"/>
    <w:rsid w:val="00B533A3"/>
    <w:rsid w:val="00B5492E"/>
    <w:rsid w:val="00B54AE8"/>
    <w:rsid w:val="00B5708F"/>
    <w:rsid w:val="00B575FB"/>
    <w:rsid w:val="00B57AD6"/>
    <w:rsid w:val="00B60255"/>
    <w:rsid w:val="00B6275E"/>
    <w:rsid w:val="00B6371E"/>
    <w:rsid w:val="00B64245"/>
    <w:rsid w:val="00B64366"/>
    <w:rsid w:val="00B64CBD"/>
    <w:rsid w:val="00B65338"/>
    <w:rsid w:val="00B6543D"/>
    <w:rsid w:val="00B6584D"/>
    <w:rsid w:val="00B6609C"/>
    <w:rsid w:val="00B66EE3"/>
    <w:rsid w:val="00B6722C"/>
    <w:rsid w:val="00B67456"/>
    <w:rsid w:val="00B70E2A"/>
    <w:rsid w:val="00B70E4A"/>
    <w:rsid w:val="00B724FA"/>
    <w:rsid w:val="00B73B42"/>
    <w:rsid w:val="00B75179"/>
    <w:rsid w:val="00B7727D"/>
    <w:rsid w:val="00B81FDF"/>
    <w:rsid w:val="00B82E5E"/>
    <w:rsid w:val="00B83605"/>
    <w:rsid w:val="00B83A34"/>
    <w:rsid w:val="00B850D4"/>
    <w:rsid w:val="00B8601F"/>
    <w:rsid w:val="00B869C2"/>
    <w:rsid w:val="00B87F77"/>
    <w:rsid w:val="00B90319"/>
    <w:rsid w:val="00B913BB"/>
    <w:rsid w:val="00B915A3"/>
    <w:rsid w:val="00B9213C"/>
    <w:rsid w:val="00B92247"/>
    <w:rsid w:val="00B9328B"/>
    <w:rsid w:val="00B940D0"/>
    <w:rsid w:val="00B95902"/>
    <w:rsid w:val="00B960E1"/>
    <w:rsid w:val="00B96548"/>
    <w:rsid w:val="00B97461"/>
    <w:rsid w:val="00B9757E"/>
    <w:rsid w:val="00B97660"/>
    <w:rsid w:val="00BA335E"/>
    <w:rsid w:val="00BA3F93"/>
    <w:rsid w:val="00BA477E"/>
    <w:rsid w:val="00BA4780"/>
    <w:rsid w:val="00BA6729"/>
    <w:rsid w:val="00BB178E"/>
    <w:rsid w:val="00BB203F"/>
    <w:rsid w:val="00BB30C3"/>
    <w:rsid w:val="00BB4F3E"/>
    <w:rsid w:val="00BB5D65"/>
    <w:rsid w:val="00BB5F4F"/>
    <w:rsid w:val="00BB6479"/>
    <w:rsid w:val="00BB6A95"/>
    <w:rsid w:val="00BB6B02"/>
    <w:rsid w:val="00BB73BD"/>
    <w:rsid w:val="00BB79BF"/>
    <w:rsid w:val="00BC0109"/>
    <w:rsid w:val="00BC092B"/>
    <w:rsid w:val="00BC0B46"/>
    <w:rsid w:val="00BC0DF1"/>
    <w:rsid w:val="00BC19BC"/>
    <w:rsid w:val="00BC329B"/>
    <w:rsid w:val="00BC3CBE"/>
    <w:rsid w:val="00BC4B58"/>
    <w:rsid w:val="00BC4FDD"/>
    <w:rsid w:val="00BC5A30"/>
    <w:rsid w:val="00BC5BBA"/>
    <w:rsid w:val="00BC5F65"/>
    <w:rsid w:val="00BC6056"/>
    <w:rsid w:val="00BC79DC"/>
    <w:rsid w:val="00BD063E"/>
    <w:rsid w:val="00BD13CE"/>
    <w:rsid w:val="00BD21FE"/>
    <w:rsid w:val="00BD28F7"/>
    <w:rsid w:val="00BD2B60"/>
    <w:rsid w:val="00BD34CE"/>
    <w:rsid w:val="00BD478A"/>
    <w:rsid w:val="00BD584E"/>
    <w:rsid w:val="00BD5B60"/>
    <w:rsid w:val="00BD6491"/>
    <w:rsid w:val="00BD6A8E"/>
    <w:rsid w:val="00BD6C86"/>
    <w:rsid w:val="00BD7224"/>
    <w:rsid w:val="00BD7BF7"/>
    <w:rsid w:val="00BE0BB4"/>
    <w:rsid w:val="00BE0CCD"/>
    <w:rsid w:val="00BE29D5"/>
    <w:rsid w:val="00BE565D"/>
    <w:rsid w:val="00BE7BCA"/>
    <w:rsid w:val="00BE7CEA"/>
    <w:rsid w:val="00BF2CF5"/>
    <w:rsid w:val="00BF3052"/>
    <w:rsid w:val="00BF3B4C"/>
    <w:rsid w:val="00BF3DEA"/>
    <w:rsid w:val="00BF41A7"/>
    <w:rsid w:val="00BF4435"/>
    <w:rsid w:val="00BF473B"/>
    <w:rsid w:val="00BF4932"/>
    <w:rsid w:val="00BF4BEA"/>
    <w:rsid w:val="00BF6E9B"/>
    <w:rsid w:val="00BF7E0A"/>
    <w:rsid w:val="00C003FB"/>
    <w:rsid w:val="00C004BE"/>
    <w:rsid w:val="00C005C7"/>
    <w:rsid w:val="00C008C8"/>
    <w:rsid w:val="00C048F2"/>
    <w:rsid w:val="00C04C90"/>
    <w:rsid w:val="00C054D2"/>
    <w:rsid w:val="00C071B0"/>
    <w:rsid w:val="00C11131"/>
    <w:rsid w:val="00C11684"/>
    <w:rsid w:val="00C12006"/>
    <w:rsid w:val="00C13473"/>
    <w:rsid w:val="00C1415A"/>
    <w:rsid w:val="00C141FA"/>
    <w:rsid w:val="00C1499F"/>
    <w:rsid w:val="00C15C8C"/>
    <w:rsid w:val="00C16CF9"/>
    <w:rsid w:val="00C17271"/>
    <w:rsid w:val="00C2004B"/>
    <w:rsid w:val="00C20822"/>
    <w:rsid w:val="00C20A71"/>
    <w:rsid w:val="00C223B2"/>
    <w:rsid w:val="00C22467"/>
    <w:rsid w:val="00C22D51"/>
    <w:rsid w:val="00C23978"/>
    <w:rsid w:val="00C245AF"/>
    <w:rsid w:val="00C27207"/>
    <w:rsid w:val="00C27F4F"/>
    <w:rsid w:val="00C3103E"/>
    <w:rsid w:val="00C315BB"/>
    <w:rsid w:val="00C329CE"/>
    <w:rsid w:val="00C32D11"/>
    <w:rsid w:val="00C35310"/>
    <w:rsid w:val="00C356BB"/>
    <w:rsid w:val="00C40403"/>
    <w:rsid w:val="00C406DF"/>
    <w:rsid w:val="00C41039"/>
    <w:rsid w:val="00C428C7"/>
    <w:rsid w:val="00C42C17"/>
    <w:rsid w:val="00C4301E"/>
    <w:rsid w:val="00C43950"/>
    <w:rsid w:val="00C43BF9"/>
    <w:rsid w:val="00C44A67"/>
    <w:rsid w:val="00C45656"/>
    <w:rsid w:val="00C46F71"/>
    <w:rsid w:val="00C47703"/>
    <w:rsid w:val="00C50B23"/>
    <w:rsid w:val="00C50BF9"/>
    <w:rsid w:val="00C50C6D"/>
    <w:rsid w:val="00C52B35"/>
    <w:rsid w:val="00C52CA4"/>
    <w:rsid w:val="00C53264"/>
    <w:rsid w:val="00C53320"/>
    <w:rsid w:val="00C54798"/>
    <w:rsid w:val="00C55038"/>
    <w:rsid w:val="00C60178"/>
    <w:rsid w:val="00C602BA"/>
    <w:rsid w:val="00C60E77"/>
    <w:rsid w:val="00C6133F"/>
    <w:rsid w:val="00C613E9"/>
    <w:rsid w:val="00C616A2"/>
    <w:rsid w:val="00C62242"/>
    <w:rsid w:val="00C62B65"/>
    <w:rsid w:val="00C62D5D"/>
    <w:rsid w:val="00C635D2"/>
    <w:rsid w:val="00C63684"/>
    <w:rsid w:val="00C6378B"/>
    <w:rsid w:val="00C63E26"/>
    <w:rsid w:val="00C649EC"/>
    <w:rsid w:val="00C65252"/>
    <w:rsid w:val="00C72E44"/>
    <w:rsid w:val="00C7305D"/>
    <w:rsid w:val="00C7326A"/>
    <w:rsid w:val="00C73597"/>
    <w:rsid w:val="00C76D52"/>
    <w:rsid w:val="00C802E6"/>
    <w:rsid w:val="00C81A1C"/>
    <w:rsid w:val="00C82D44"/>
    <w:rsid w:val="00C83233"/>
    <w:rsid w:val="00C83709"/>
    <w:rsid w:val="00C83B49"/>
    <w:rsid w:val="00C85A0C"/>
    <w:rsid w:val="00C90716"/>
    <w:rsid w:val="00C91931"/>
    <w:rsid w:val="00C92582"/>
    <w:rsid w:val="00C92832"/>
    <w:rsid w:val="00C9334C"/>
    <w:rsid w:val="00C93E03"/>
    <w:rsid w:val="00C944A0"/>
    <w:rsid w:val="00C949D4"/>
    <w:rsid w:val="00C94F22"/>
    <w:rsid w:val="00C95225"/>
    <w:rsid w:val="00C95BB7"/>
    <w:rsid w:val="00C966C1"/>
    <w:rsid w:val="00C96CD3"/>
    <w:rsid w:val="00CA1096"/>
    <w:rsid w:val="00CA2338"/>
    <w:rsid w:val="00CA35ED"/>
    <w:rsid w:val="00CA3E4E"/>
    <w:rsid w:val="00CA53F8"/>
    <w:rsid w:val="00CA57F7"/>
    <w:rsid w:val="00CA6470"/>
    <w:rsid w:val="00CB4070"/>
    <w:rsid w:val="00CB49D2"/>
    <w:rsid w:val="00CB5507"/>
    <w:rsid w:val="00CB5780"/>
    <w:rsid w:val="00CB70AD"/>
    <w:rsid w:val="00CC0024"/>
    <w:rsid w:val="00CC0763"/>
    <w:rsid w:val="00CC1117"/>
    <w:rsid w:val="00CC138D"/>
    <w:rsid w:val="00CC1A78"/>
    <w:rsid w:val="00CC20A1"/>
    <w:rsid w:val="00CC21F8"/>
    <w:rsid w:val="00CC220B"/>
    <w:rsid w:val="00CC4328"/>
    <w:rsid w:val="00CC4469"/>
    <w:rsid w:val="00CC57AD"/>
    <w:rsid w:val="00CC59E4"/>
    <w:rsid w:val="00CC712F"/>
    <w:rsid w:val="00CD060E"/>
    <w:rsid w:val="00CD0FB4"/>
    <w:rsid w:val="00CD259D"/>
    <w:rsid w:val="00CD2BB5"/>
    <w:rsid w:val="00CD3268"/>
    <w:rsid w:val="00CD61E6"/>
    <w:rsid w:val="00CD785E"/>
    <w:rsid w:val="00CD7F40"/>
    <w:rsid w:val="00CE01C0"/>
    <w:rsid w:val="00CE0A0A"/>
    <w:rsid w:val="00CE237D"/>
    <w:rsid w:val="00CE642A"/>
    <w:rsid w:val="00CE7189"/>
    <w:rsid w:val="00CE7388"/>
    <w:rsid w:val="00CE786C"/>
    <w:rsid w:val="00CE7B4F"/>
    <w:rsid w:val="00CE7E51"/>
    <w:rsid w:val="00CF0EE9"/>
    <w:rsid w:val="00CF12A8"/>
    <w:rsid w:val="00CF15C8"/>
    <w:rsid w:val="00CF1CD9"/>
    <w:rsid w:val="00CF384F"/>
    <w:rsid w:val="00CF4694"/>
    <w:rsid w:val="00CF51DF"/>
    <w:rsid w:val="00CF5883"/>
    <w:rsid w:val="00CF5C12"/>
    <w:rsid w:val="00CF63A5"/>
    <w:rsid w:val="00CF65D7"/>
    <w:rsid w:val="00CF7A2C"/>
    <w:rsid w:val="00CF7B48"/>
    <w:rsid w:val="00D000A8"/>
    <w:rsid w:val="00D00AF3"/>
    <w:rsid w:val="00D014FC"/>
    <w:rsid w:val="00D01761"/>
    <w:rsid w:val="00D031F7"/>
    <w:rsid w:val="00D039DF"/>
    <w:rsid w:val="00D03AE3"/>
    <w:rsid w:val="00D04D63"/>
    <w:rsid w:val="00D06484"/>
    <w:rsid w:val="00D06C59"/>
    <w:rsid w:val="00D07240"/>
    <w:rsid w:val="00D076E9"/>
    <w:rsid w:val="00D108E5"/>
    <w:rsid w:val="00D10B06"/>
    <w:rsid w:val="00D12175"/>
    <w:rsid w:val="00D132C4"/>
    <w:rsid w:val="00D1360C"/>
    <w:rsid w:val="00D1471F"/>
    <w:rsid w:val="00D1722A"/>
    <w:rsid w:val="00D17466"/>
    <w:rsid w:val="00D1776A"/>
    <w:rsid w:val="00D179D3"/>
    <w:rsid w:val="00D22F0F"/>
    <w:rsid w:val="00D241D5"/>
    <w:rsid w:val="00D26A6C"/>
    <w:rsid w:val="00D30255"/>
    <w:rsid w:val="00D3332B"/>
    <w:rsid w:val="00D3408D"/>
    <w:rsid w:val="00D3416B"/>
    <w:rsid w:val="00D34903"/>
    <w:rsid w:val="00D35699"/>
    <w:rsid w:val="00D36F76"/>
    <w:rsid w:val="00D40113"/>
    <w:rsid w:val="00D41984"/>
    <w:rsid w:val="00D42063"/>
    <w:rsid w:val="00D4266C"/>
    <w:rsid w:val="00D42ADB"/>
    <w:rsid w:val="00D43079"/>
    <w:rsid w:val="00D433BB"/>
    <w:rsid w:val="00D44B26"/>
    <w:rsid w:val="00D44BCE"/>
    <w:rsid w:val="00D451DC"/>
    <w:rsid w:val="00D469F6"/>
    <w:rsid w:val="00D4747B"/>
    <w:rsid w:val="00D47E32"/>
    <w:rsid w:val="00D5105A"/>
    <w:rsid w:val="00D517B6"/>
    <w:rsid w:val="00D51979"/>
    <w:rsid w:val="00D51E2C"/>
    <w:rsid w:val="00D533B7"/>
    <w:rsid w:val="00D5508A"/>
    <w:rsid w:val="00D5723F"/>
    <w:rsid w:val="00D579CD"/>
    <w:rsid w:val="00D57B66"/>
    <w:rsid w:val="00D601DF"/>
    <w:rsid w:val="00D6103D"/>
    <w:rsid w:val="00D6243F"/>
    <w:rsid w:val="00D62B3C"/>
    <w:rsid w:val="00D67C97"/>
    <w:rsid w:val="00D7098F"/>
    <w:rsid w:val="00D742C1"/>
    <w:rsid w:val="00D770E0"/>
    <w:rsid w:val="00D775BC"/>
    <w:rsid w:val="00D806EA"/>
    <w:rsid w:val="00D80DDF"/>
    <w:rsid w:val="00D80E8A"/>
    <w:rsid w:val="00D81AF4"/>
    <w:rsid w:val="00D81FAC"/>
    <w:rsid w:val="00D826AD"/>
    <w:rsid w:val="00D84B6E"/>
    <w:rsid w:val="00D8754D"/>
    <w:rsid w:val="00D9091E"/>
    <w:rsid w:val="00D90DD9"/>
    <w:rsid w:val="00D918DB"/>
    <w:rsid w:val="00D91F1F"/>
    <w:rsid w:val="00D9386D"/>
    <w:rsid w:val="00D94F9E"/>
    <w:rsid w:val="00D9544F"/>
    <w:rsid w:val="00D96419"/>
    <w:rsid w:val="00D96A96"/>
    <w:rsid w:val="00D96DFC"/>
    <w:rsid w:val="00D976C7"/>
    <w:rsid w:val="00D979CA"/>
    <w:rsid w:val="00DA0037"/>
    <w:rsid w:val="00DA202C"/>
    <w:rsid w:val="00DA22B1"/>
    <w:rsid w:val="00DA36B3"/>
    <w:rsid w:val="00DA4E3E"/>
    <w:rsid w:val="00DA5794"/>
    <w:rsid w:val="00DA585C"/>
    <w:rsid w:val="00DA67B6"/>
    <w:rsid w:val="00DA71E0"/>
    <w:rsid w:val="00DA7600"/>
    <w:rsid w:val="00DA77DB"/>
    <w:rsid w:val="00DB1BC2"/>
    <w:rsid w:val="00DB20A7"/>
    <w:rsid w:val="00DB34FE"/>
    <w:rsid w:val="00DB495F"/>
    <w:rsid w:val="00DB606A"/>
    <w:rsid w:val="00DB667E"/>
    <w:rsid w:val="00DB7F24"/>
    <w:rsid w:val="00DC063C"/>
    <w:rsid w:val="00DC0880"/>
    <w:rsid w:val="00DC1133"/>
    <w:rsid w:val="00DC16F1"/>
    <w:rsid w:val="00DC2813"/>
    <w:rsid w:val="00DC2FE6"/>
    <w:rsid w:val="00DC39EF"/>
    <w:rsid w:val="00DC3B21"/>
    <w:rsid w:val="00DC4528"/>
    <w:rsid w:val="00DC45A0"/>
    <w:rsid w:val="00DC645D"/>
    <w:rsid w:val="00DC66F7"/>
    <w:rsid w:val="00DD00C0"/>
    <w:rsid w:val="00DD0254"/>
    <w:rsid w:val="00DD05A5"/>
    <w:rsid w:val="00DD1565"/>
    <w:rsid w:val="00DD1880"/>
    <w:rsid w:val="00DD22C1"/>
    <w:rsid w:val="00DD39AB"/>
    <w:rsid w:val="00DD3FA8"/>
    <w:rsid w:val="00DD443F"/>
    <w:rsid w:val="00DD46FE"/>
    <w:rsid w:val="00DD4BF0"/>
    <w:rsid w:val="00DD5FDD"/>
    <w:rsid w:val="00DD6210"/>
    <w:rsid w:val="00DD632F"/>
    <w:rsid w:val="00DD7372"/>
    <w:rsid w:val="00DE11AF"/>
    <w:rsid w:val="00DE1312"/>
    <w:rsid w:val="00DE2701"/>
    <w:rsid w:val="00DE2E50"/>
    <w:rsid w:val="00DE31AC"/>
    <w:rsid w:val="00DE5D78"/>
    <w:rsid w:val="00DE5F2D"/>
    <w:rsid w:val="00DE6EF5"/>
    <w:rsid w:val="00DF008A"/>
    <w:rsid w:val="00DF1C92"/>
    <w:rsid w:val="00DF600E"/>
    <w:rsid w:val="00DF658E"/>
    <w:rsid w:val="00DF6D2A"/>
    <w:rsid w:val="00DF76D6"/>
    <w:rsid w:val="00DF777C"/>
    <w:rsid w:val="00DF799F"/>
    <w:rsid w:val="00E00362"/>
    <w:rsid w:val="00E00994"/>
    <w:rsid w:val="00E0122A"/>
    <w:rsid w:val="00E012DE"/>
    <w:rsid w:val="00E01D17"/>
    <w:rsid w:val="00E02112"/>
    <w:rsid w:val="00E04BFD"/>
    <w:rsid w:val="00E052E0"/>
    <w:rsid w:val="00E05E8C"/>
    <w:rsid w:val="00E07464"/>
    <w:rsid w:val="00E078F8"/>
    <w:rsid w:val="00E10474"/>
    <w:rsid w:val="00E1084B"/>
    <w:rsid w:val="00E11198"/>
    <w:rsid w:val="00E11565"/>
    <w:rsid w:val="00E12C28"/>
    <w:rsid w:val="00E1440C"/>
    <w:rsid w:val="00E1566D"/>
    <w:rsid w:val="00E15F57"/>
    <w:rsid w:val="00E17EEE"/>
    <w:rsid w:val="00E200E7"/>
    <w:rsid w:val="00E203F2"/>
    <w:rsid w:val="00E211B3"/>
    <w:rsid w:val="00E22463"/>
    <w:rsid w:val="00E225EF"/>
    <w:rsid w:val="00E23053"/>
    <w:rsid w:val="00E2410E"/>
    <w:rsid w:val="00E243BD"/>
    <w:rsid w:val="00E247FD"/>
    <w:rsid w:val="00E254DB"/>
    <w:rsid w:val="00E27291"/>
    <w:rsid w:val="00E27F6E"/>
    <w:rsid w:val="00E30112"/>
    <w:rsid w:val="00E307A4"/>
    <w:rsid w:val="00E313C6"/>
    <w:rsid w:val="00E31E47"/>
    <w:rsid w:val="00E31E86"/>
    <w:rsid w:val="00E3360A"/>
    <w:rsid w:val="00E337C5"/>
    <w:rsid w:val="00E34D67"/>
    <w:rsid w:val="00E3640E"/>
    <w:rsid w:val="00E3666F"/>
    <w:rsid w:val="00E37E24"/>
    <w:rsid w:val="00E37EF2"/>
    <w:rsid w:val="00E4026A"/>
    <w:rsid w:val="00E42F5E"/>
    <w:rsid w:val="00E43A35"/>
    <w:rsid w:val="00E43FCD"/>
    <w:rsid w:val="00E4498A"/>
    <w:rsid w:val="00E44D1D"/>
    <w:rsid w:val="00E4555E"/>
    <w:rsid w:val="00E463A9"/>
    <w:rsid w:val="00E476F7"/>
    <w:rsid w:val="00E516C0"/>
    <w:rsid w:val="00E51D96"/>
    <w:rsid w:val="00E54CF1"/>
    <w:rsid w:val="00E55D6E"/>
    <w:rsid w:val="00E56A8E"/>
    <w:rsid w:val="00E56D7B"/>
    <w:rsid w:val="00E60023"/>
    <w:rsid w:val="00E60A18"/>
    <w:rsid w:val="00E60A7A"/>
    <w:rsid w:val="00E60FD5"/>
    <w:rsid w:val="00E61D44"/>
    <w:rsid w:val="00E61FF9"/>
    <w:rsid w:val="00E624AF"/>
    <w:rsid w:val="00E63199"/>
    <w:rsid w:val="00E635AE"/>
    <w:rsid w:val="00E64246"/>
    <w:rsid w:val="00E65BC1"/>
    <w:rsid w:val="00E704A7"/>
    <w:rsid w:val="00E70F4E"/>
    <w:rsid w:val="00E71C0E"/>
    <w:rsid w:val="00E71F3A"/>
    <w:rsid w:val="00E727C9"/>
    <w:rsid w:val="00E73788"/>
    <w:rsid w:val="00E7520D"/>
    <w:rsid w:val="00E75552"/>
    <w:rsid w:val="00E800AC"/>
    <w:rsid w:val="00E80356"/>
    <w:rsid w:val="00E80C26"/>
    <w:rsid w:val="00E829B9"/>
    <w:rsid w:val="00E82CFE"/>
    <w:rsid w:val="00E833F2"/>
    <w:rsid w:val="00E836DF"/>
    <w:rsid w:val="00E83D89"/>
    <w:rsid w:val="00E84EBC"/>
    <w:rsid w:val="00E866B2"/>
    <w:rsid w:val="00E9067A"/>
    <w:rsid w:val="00E90F7E"/>
    <w:rsid w:val="00E91099"/>
    <w:rsid w:val="00E911C4"/>
    <w:rsid w:val="00E92357"/>
    <w:rsid w:val="00E92714"/>
    <w:rsid w:val="00E9271F"/>
    <w:rsid w:val="00E92925"/>
    <w:rsid w:val="00E9335E"/>
    <w:rsid w:val="00E9338A"/>
    <w:rsid w:val="00E93B0F"/>
    <w:rsid w:val="00E945FE"/>
    <w:rsid w:val="00E95E92"/>
    <w:rsid w:val="00E96AAD"/>
    <w:rsid w:val="00E96C5B"/>
    <w:rsid w:val="00E96D7C"/>
    <w:rsid w:val="00E9777B"/>
    <w:rsid w:val="00E97B7E"/>
    <w:rsid w:val="00EA0C6E"/>
    <w:rsid w:val="00EA1C98"/>
    <w:rsid w:val="00EA214F"/>
    <w:rsid w:val="00EA3585"/>
    <w:rsid w:val="00EA397D"/>
    <w:rsid w:val="00EA40A9"/>
    <w:rsid w:val="00EA5AB8"/>
    <w:rsid w:val="00EA5DBC"/>
    <w:rsid w:val="00EB1448"/>
    <w:rsid w:val="00EB16D9"/>
    <w:rsid w:val="00EB2BB9"/>
    <w:rsid w:val="00EB3BC5"/>
    <w:rsid w:val="00EB3D17"/>
    <w:rsid w:val="00EB3F59"/>
    <w:rsid w:val="00EB4BAF"/>
    <w:rsid w:val="00EB4D38"/>
    <w:rsid w:val="00EB523F"/>
    <w:rsid w:val="00EB5EF0"/>
    <w:rsid w:val="00EB6731"/>
    <w:rsid w:val="00EB6FE0"/>
    <w:rsid w:val="00EB7042"/>
    <w:rsid w:val="00EB7CDB"/>
    <w:rsid w:val="00EC009F"/>
    <w:rsid w:val="00EC13C9"/>
    <w:rsid w:val="00EC264C"/>
    <w:rsid w:val="00EC2C14"/>
    <w:rsid w:val="00EC3158"/>
    <w:rsid w:val="00EC477A"/>
    <w:rsid w:val="00EC5611"/>
    <w:rsid w:val="00EC7B3F"/>
    <w:rsid w:val="00ED04DB"/>
    <w:rsid w:val="00ED0B6D"/>
    <w:rsid w:val="00ED0D4C"/>
    <w:rsid w:val="00ED118D"/>
    <w:rsid w:val="00ED1814"/>
    <w:rsid w:val="00ED2B9E"/>
    <w:rsid w:val="00ED3ACF"/>
    <w:rsid w:val="00ED41A7"/>
    <w:rsid w:val="00ED4461"/>
    <w:rsid w:val="00ED47E1"/>
    <w:rsid w:val="00ED49CD"/>
    <w:rsid w:val="00ED5630"/>
    <w:rsid w:val="00ED5BC3"/>
    <w:rsid w:val="00ED630A"/>
    <w:rsid w:val="00ED6447"/>
    <w:rsid w:val="00ED6804"/>
    <w:rsid w:val="00ED6B45"/>
    <w:rsid w:val="00ED76C8"/>
    <w:rsid w:val="00EE04F6"/>
    <w:rsid w:val="00EE2DE7"/>
    <w:rsid w:val="00EE33AB"/>
    <w:rsid w:val="00EE6549"/>
    <w:rsid w:val="00EE6A4C"/>
    <w:rsid w:val="00EE6C34"/>
    <w:rsid w:val="00EE7725"/>
    <w:rsid w:val="00EF0402"/>
    <w:rsid w:val="00EF04E6"/>
    <w:rsid w:val="00EF0625"/>
    <w:rsid w:val="00EF0B25"/>
    <w:rsid w:val="00EF1222"/>
    <w:rsid w:val="00EF2C81"/>
    <w:rsid w:val="00EF3BB5"/>
    <w:rsid w:val="00EF4036"/>
    <w:rsid w:val="00EF408A"/>
    <w:rsid w:val="00EF56B8"/>
    <w:rsid w:val="00EF5DF7"/>
    <w:rsid w:val="00EF6292"/>
    <w:rsid w:val="00EF6F5A"/>
    <w:rsid w:val="00F00292"/>
    <w:rsid w:val="00F0083A"/>
    <w:rsid w:val="00F00B94"/>
    <w:rsid w:val="00F042FA"/>
    <w:rsid w:val="00F055FC"/>
    <w:rsid w:val="00F05B42"/>
    <w:rsid w:val="00F05DF4"/>
    <w:rsid w:val="00F064B6"/>
    <w:rsid w:val="00F07B49"/>
    <w:rsid w:val="00F07E12"/>
    <w:rsid w:val="00F119E3"/>
    <w:rsid w:val="00F1247D"/>
    <w:rsid w:val="00F12766"/>
    <w:rsid w:val="00F12D02"/>
    <w:rsid w:val="00F131E2"/>
    <w:rsid w:val="00F15337"/>
    <w:rsid w:val="00F16058"/>
    <w:rsid w:val="00F17C6E"/>
    <w:rsid w:val="00F205EC"/>
    <w:rsid w:val="00F20BED"/>
    <w:rsid w:val="00F219EF"/>
    <w:rsid w:val="00F22197"/>
    <w:rsid w:val="00F2316F"/>
    <w:rsid w:val="00F23246"/>
    <w:rsid w:val="00F23638"/>
    <w:rsid w:val="00F249D9"/>
    <w:rsid w:val="00F25017"/>
    <w:rsid w:val="00F25304"/>
    <w:rsid w:val="00F254A6"/>
    <w:rsid w:val="00F26123"/>
    <w:rsid w:val="00F2613E"/>
    <w:rsid w:val="00F2739E"/>
    <w:rsid w:val="00F30C59"/>
    <w:rsid w:val="00F31111"/>
    <w:rsid w:val="00F312DD"/>
    <w:rsid w:val="00F3186E"/>
    <w:rsid w:val="00F31C84"/>
    <w:rsid w:val="00F346F4"/>
    <w:rsid w:val="00F349C7"/>
    <w:rsid w:val="00F34D3F"/>
    <w:rsid w:val="00F41922"/>
    <w:rsid w:val="00F43710"/>
    <w:rsid w:val="00F440AB"/>
    <w:rsid w:val="00F455BE"/>
    <w:rsid w:val="00F47B3C"/>
    <w:rsid w:val="00F50BD0"/>
    <w:rsid w:val="00F517C1"/>
    <w:rsid w:val="00F52081"/>
    <w:rsid w:val="00F54E27"/>
    <w:rsid w:val="00F55573"/>
    <w:rsid w:val="00F55F88"/>
    <w:rsid w:val="00F55FEC"/>
    <w:rsid w:val="00F605D7"/>
    <w:rsid w:val="00F6131D"/>
    <w:rsid w:val="00F622CA"/>
    <w:rsid w:val="00F62A74"/>
    <w:rsid w:val="00F62C40"/>
    <w:rsid w:val="00F647D4"/>
    <w:rsid w:val="00F6540D"/>
    <w:rsid w:val="00F65885"/>
    <w:rsid w:val="00F65B8A"/>
    <w:rsid w:val="00F6655F"/>
    <w:rsid w:val="00F66F58"/>
    <w:rsid w:val="00F67B7D"/>
    <w:rsid w:val="00F708C5"/>
    <w:rsid w:val="00F70C0E"/>
    <w:rsid w:val="00F7120E"/>
    <w:rsid w:val="00F7135D"/>
    <w:rsid w:val="00F71D3B"/>
    <w:rsid w:val="00F71EB7"/>
    <w:rsid w:val="00F720BD"/>
    <w:rsid w:val="00F72EAE"/>
    <w:rsid w:val="00F745E8"/>
    <w:rsid w:val="00F7476E"/>
    <w:rsid w:val="00F765A2"/>
    <w:rsid w:val="00F765F4"/>
    <w:rsid w:val="00F80C01"/>
    <w:rsid w:val="00F84045"/>
    <w:rsid w:val="00F84BCD"/>
    <w:rsid w:val="00F85C29"/>
    <w:rsid w:val="00F86CBC"/>
    <w:rsid w:val="00F8785B"/>
    <w:rsid w:val="00F904F2"/>
    <w:rsid w:val="00F9143F"/>
    <w:rsid w:val="00F9176D"/>
    <w:rsid w:val="00F93521"/>
    <w:rsid w:val="00F93B86"/>
    <w:rsid w:val="00F93D5F"/>
    <w:rsid w:val="00F950DB"/>
    <w:rsid w:val="00F95642"/>
    <w:rsid w:val="00F95DBB"/>
    <w:rsid w:val="00F961E2"/>
    <w:rsid w:val="00F96955"/>
    <w:rsid w:val="00F97361"/>
    <w:rsid w:val="00F978DA"/>
    <w:rsid w:val="00F97ED7"/>
    <w:rsid w:val="00FA0C04"/>
    <w:rsid w:val="00FA236D"/>
    <w:rsid w:val="00FA2799"/>
    <w:rsid w:val="00FA3349"/>
    <w:rsid w:val="00FA38B3"/>
    <w:rsid w:val="00FA41B8"/>
    <w:rsid w:val="00FA5394"/>
    <w:rsid w:val="00FB0073"/>
    <w:rsid w:val="00FB0B61"/>
    <w:rsid w:val="00FB196C"/>
    <w:rsid w:val="00FB246E"/>
    <w:rsid w:val="00FB282E"/>
    <w:rsid w:val="00FB33A5"/>
    <w:rsid w:val="00FB3C5B"/>
    <w:rsid w:val="00FB424E"/>
    <w:rsid w:val="00FB4CA1"/>
    <w:rsid w:val="00FB5D2E"/>
    <w:rsid w:val="00FB6086"/>
    <w:rsid w:val="00FB614C"/>
    <w:rsid w:val="00FB6961"/>
    <w:rsid w:val="00FB738F"/>
    <w:rsid w:val="00FC0374"/>
    <w:rsid w:val="00FC2767"/>
    <w:rsid w:val="00FC2F13"/>
    <w:rsid w:val="00FC3790"/>
    <w:rsid w:val="00FC55A6"/>
    <w:rsid w:val="00FC6458"/>
    <w:rsid w:val="00FC65F2"/>
    <w:rsid w:val="00FC7098"/>
    <w:rsid w:val="00FC77DF"/>
    <w:rsid w:val="00FC792E"/>
    <w:rsid w:val="00FD0778"/>
    <w:rsid w:val="00FD0797"/>
    <w:rsid w:val="00FD0854"/>
    <w:rsid w:val="00FD19BC"/>
    <w:rsid w:val="00FD283F"/>
    <w:rsid w:val="00FD413E"/>
    <w:rsid w:val="00FD4B1D"/>
    <w:rsid w:val="00FD597D"/>
    <w:rsid w:val="00FD6C9D"/>
    <w:rsid w:val="00FD6F6F"/>
    <w:rsid w:val="00FE0551"/>
    <w:rsid w:val="00FE0E65"/>
    <w:rsid w:val="00FF0578"/>
    <w:rsid w:val="00FF37EE"/>
    <w:rsid w:val="00FF50ED"/>
    <w:rsid w:val="00FF51C3"/>
    <w:rsid w:val="00FF5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22AC"/>
  <w15:chartTrackingRefBased/>
  <w15:docId w15:val="{612822F1-A3B4-4883-8DB4-42A53112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iro" w:eastAsiaTheme="minorHAnsi" w:hAnsi="Cairo" w:cstheme="minorBidi"/>
        <w:color w:val="2E2E38"/>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1E6"/>
    <w:pPr>
      <w:spacing w:line="276" w:lineRule="auto"/>
      <w:jc w:val="both"/>
    </w:pPr>
    <w:rPr>
      <w:rFonts w:ascii="Arial" w:hAnsi="Arial" w:cs="Arial"/>
      <w:color w:val="auto"/>
    </w:rPr>
  </w:style>
  <w:style w:type="paragraph" w:styleId="Ttulo1">
    <w:name w:val="heading 1"/>
    <w:aliases w:val="Seção 1 com título"/>
    <w:basedOn w:val="PargrafodaLista"/>
    <w:next w:val="Normal"/>
    <w:link w:val="Ttulo1Char"/>
    <w:qFormat/>
    <w:rsid w:val="00140AE7"/>
    <w:pPr>
      <w:numPr>
        <w:numId w:val="1"/>
      </w:numPr>
      <w:outlineLvl w:val="0"/>
    </w:pPr>
    <w:rPr>
      <w:b/>
      <w:bCs/>
    </w:rPr>
  </w:style>
  <w:style w:type="paragraph" w:styleId="Ttulo2">
    <w:name w:val="heading 2"/>
    <w:basedOn w:val="PargrafodaLista"/>
    <w:next w:val="Normal"/>
    <w:link w:val="Ttulo2Char"/>
    <w:uiPriority w:val="9"/>
    <w:unhideWhenUsed/>
    <w:qFormat/>
    <w:rsid w:val="00F72EAE"/>
    <w:pPr>
      <w:numPr>
        <w:ilvl w:val="1"/>
        <w:numId w:val="1"/>
      </w:numPr>
      <w:ind w:left="431" w:hanging="431"/>
      <w:outlineLvl w:val="1"/>
    </w:pPr>
    <w:rPr>
      <w:b/>
    </w:rPr>
  </w:style>
  <w:style w:type="paragraph" w:styleId="Ttulo3">
    <w:name w:val="heading 3"/>
    <w:basedOn w:val="PargrafodaLista"/>
    <w:next w:val="Normal"/>
    <w:link w:val="Ttulo3Char"/>
    <w:unhideWhenUsed/>
    <w:qFormat/>
    <w:rsid w:val="00F72EAE"/>
    <w:pPr>
      <w:numPr>
        <w:ilvl w:val="2"/>
        <w:numId w:val="1"/>
      </w:numPr>
      <w:ind w:left="851" w:hanging="851"/>
      <w:outlineLvl w:val="2"/>
    </w:pPr>
    <w:rPr>
      <w:b/>
      <w:bCs/>
      <w:i/>
    </w:rPr>
  </w:style>
  <w:style w:type="paragraph" w:styleId="Ttulo4">
    <w:name w:val="heading 4"/>
    <w:basedOn w:val="PargrafodaLista"/>
    <w:next w:val="Normal"/>
    <w:link w:val="Ttulo4Char"/>
    <w:uiPriority w:val="9"/>
    <w:unhideWhenUsed/>
    <w:qFormat/>
    <w:rsid w:val="00567573"/>
    <w:pPr>
      <w:numPr>
        <w:ilvl w:val="3"/>
        <w:numId w:val="1"/>
      </w:numPr>
      <w:outlineLvl w:val="3"/>
    </w:pPr>
    <w:rPr>
      <w:b/>
      <w:i/>
      <w:u w:val="single"/>
    </w:rPr>
  </w:style>
  <w:style w:type="paragraph" w:styleId="Ttulo5">
    <w:name w:val="heading 5"/>
    <w:aliases w:val="Título 5 Seção com Título Bold"/>
    <w:basedOn w:val="PargrafodaLista"/>
    <w:next w:val="Normal"/>
    <w:link w:val="Ttulo5Char"/>
    <w:unhideWhenUsed/>
    <w:qFormat/>
    <w:rsid w:val="00425490"/>
    <w:pPr>
      <w:numPr>
        <w:ilvl w:val="4"/>
        <w:numId w:val="1"/>
      </w:numPr>
      <w:outlineLvl w:val="4"/>
    </w:pPr>
    <w:rPr>
      <w:i/>
      <w:iCs/>
    </w:rPr>
  </w:style>
  <w:style w:type="paragraph" w:styleId="Ttulo6">
    <w:name w:val="heading 6"/>
    <w:basedOn w:val="Normal"/>
    <w:next w:val="Normal"/>
    <w:link w:val="Ttulo6Char"/>
    <w:uiPriority w:val="9"/>
    <w:semiHidden/>
    <w:unhideWhenUsed/>
    <w:rsid w:val="006C4C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53770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Ttulo6"/>
    <w:next w:val="Normal"/>
    <w:link w:val="Ttulo8Char"/>
    <w:qFormat/>
    <w:rsid w:val="006C4C1C"/>
    <w:pPr>
      <w:keepLines w:val="0"/>
      <w:tabs>
        <w:tab w:val="left" w:pos="360"/>
        <w:tab w:val="left" w:pos="720"/>
        <w:tab w:val="num" w:pos="1800"/>
      </w:tabs>
      <w:suppressAutoHyphens/>
      <w:spacing w:before="240" w:after="240" w:line="230" w:lineRule="atLeast"/>
      <w:outlineLvl w:val="7"/>
    </w:pPr>
    <w:rPr>
      <w:rFonts w:ascii="Arial" w:eastAsia="MS Mincho" w:hAnsi="Arial" w:cs="Times New Roman"/>
      <w:b/>
      <w:color w:val="auto"/>
      <w:szCs w:val="24"/>
      <w:lang w:val="en-GB" w:eastAsia="ja-JP"/>
    </w:rPr>
  </w:style>
  <w:style w:type="paragraph" w:styleId="Ttulo9">
    <w:name w:val="heading 9"/>
    <w:basedOn w:val="Ttulo6"/>
    <w:next w:val="Normal"/>
    <w:link w:val="Ttulo9Char"/>
    <w:qFormat/>
    <w:rsid w:val="006C4C1C"/>
    <w:pPr>
      <w:keepLines w:val="0"/>
      <w:tabs>
        <w:tab w:val="left" w:pos="360"/>
        <w:tab w:val="left" w:pos="720"/>
        <w:tab w:val="num" w:pos="1800"/>
      </w:tabs>
      <w:suppressAutoHyphens/>
      <w:spacing w:before="240" w:after="240" w:line="230" w:lineRule="atLeast"/>
      <w:outlineLvl w:val="8"/>
    </w:pPr>
    <w:rPr>
      <w:rFonts w:ascii="Arial" w:eastAsia="MS Mincho" w:hAnsi="Arial" w:cs="Times New Roman"/>
      <w:b/>
      <w:color w:val="auto"/>
      <w:szCs w:val="24"/>
      <w:lang w:val="en-GB"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A2C97"/>
    <w:pPr>
      <w:tabs>
        <w:tab w:val="center" w:pos="4252"/>
        <w:tab w:val="right" w:pos="8504"/>
      </w:tabs>
      <w:spacing w:after="0"/>
    </w:pPr>
  </w:style>
  <w:style w:type="character" w:customStyle="1" w:styleId="CabealhoChar">
    <w:name w:val="Cabeçalho Char"/>
    <w:basedOn w:val="Fontepargpadro"/>
    <w:link w:val="Cabealho"/>
    <w:uiPriority w:val="99"/>
    <w:rsid w:val="003A2C97"/>
  </w:style>
  <w:style w:type="paragraph" w:styleId="Rodap">
    <w:name w:val="footer"/>
    <w:basedOn w:val="Normal"/>
    <w:link w:val="RodapChar"/>
    <w:uiPriority w:val="99"/>
    <w:unhideWhenUsed/>
    <w:rsid w:val="003A2C97"/>
    <w:pPr>
      <w:tabs>
        <w:tab w:val="center" w:pos="4252"/>
        <w:tab w:val="right" w:pos="8504"/>
      </w:tabs>
      <w:spacing w:after="0"/>
    </w:pPr>
  </w:style>
  <w:style w:type="character" w:customStyle="1" w:styleId="RodapChar">
    <w:name w:val="Rodapé Char"/>
    <w:basedOn w:val="Fontepargpadro"/>
    <w:link w:val="Rodap"/>
    <w:uiPriority w:val="99"/>
    <w:rsid w:val="003A2C97"/>
  </w:style>
  <w:style w:type="paragraph" w:styleId="PargrafodaLista">
    <w:name w:val="List Paragraph"/>
    <w:basedOn w:val="Normal"/>
    <w:uiPriority w:val="1"/>
    <w:qFormat/>
    <w:rsid w:val="00237843"/>
    <w:pPr>
      <w:ind w:left="720"/>
    </w:pPr>
  </w:style>
  <w:style w:type="character" w:customStyle="1" w:styleId="Ttulo1Char">
    <w:name w:val="Título 1 Char"/>
    <w:aliases w:val="Seção 1 com título Char"/>
    <w:basedOn w:val="Fontepargpadro"/>
    <w:link w:val="Ttulo1"/>
    <w:rsid w:val="00140AE7"/>
    <w:rPr>
      <w:rFonts w:ascii="Arial" w:hAnsi="Arial" w:cs="Arial"/>
      <w:b/>
      <w:bCs/>
      <w:color w:val="auto"/>
    </w:rPr>
  </w:style>
  <w:style w:type="character" w:customStyle="1" w:styleId="Ttulo2Char">
    <w:name w:val="Título 2 Char"/>
    <w:basedOn w:val="Fontepargpadro"/>
    <w:link w:val="Ttulo2"/>
    <w:uiPriority w:val="9"/>
    <w:rsid w:val="00F72EAE"/>
    <w:rPr>
      <w:rFonts w:ascii="Arial" w:hAnsi="Arial" w:cs="Arial"/>
      <w:b/>
      <w:color w:val="auto"/>
    </w:rPr>
  </w:style>
  <w:style w:type="character" w:customStyle="1" w:styleId="Ttulo3Char">
    <w:name w:val="Título 3 Char"/>
    <w:basedOn w:val="Fontepargpadro"/>
    <w:link w:val="Ttulo3"/>
    <w:rsid w:val="00F72EAE"/>
    <w:rPr>
      <w:rFonts w:ascii="Arial" w:hAnsi="Arial" w:cs="Arial"/>
      <w:b/>
      <w:bCs/>
      <w:i/>
      <w:color w:val="auto"/>
    </w:rPr>
  </w:style>
  <w:style w:type="character" w:customStyle="1" w:styleId="Ttulo4Char">
    <w:name w:val="Título 4 Char"/>
    <w:basedOn w:val="Fontepargpadro"/>
    <w:link w:val="Ttulo4"/>
    <w:uiPriority w:val="9"/>
    <w:rsid w:val="00567573"/>
    <w:rPr>
      <w:rFonts w:ascii="Arial" w:hAnsi="Arial" w:cs="Arial"/>
      <w:b/>
      <w:i/>
      <w:color w:val="auto"/>
      <w:u w:val="single"/>
    </w:rPr>
  </w:style>
  <w:style w:type="character" w:customStyle="1" w:styleId="Ttulo5Char">
    <w:name w:val="Título 5 Char"/>
    <w:aliases w:val="Título 5 Seção com Título Bold Char"/>
    <w:basedOn w:val="Fontepargpadro"/>
    <w:link w:val="Ttulo5"/>
    <w:rsid w:val="00425490"/>
    <w:rPr>
      <w:rFonts w:ascii="Arial" w:hAnsi="Arial" w:cs="Arial"/>
      <w:i/>
      <w:iCs/>
      <w:color w:val="auto"/>
    </w:rPr>
  </w:style>
  <w:style w:type="paragraph" w:customStyle="1" w:styleId="Figuras">
    <w:name w:val="Figuras"/>
    <w:basedOn w:val="Normal"/>
    <w:link w:val="FigurasChar"/>
    <w:qFormat/>
    <w:rsid w:val="00D22F0F"/>
    <w:pPr>
      <w:spacing w:after="0"/>
      <w:jc w:val="center"/>
    </w:pPr>
    <w:rPr>
      <w:noProof/>
    </w:rPr>
  </w:style>
  <w:style w:type="paragraph" w:styleId="Legenda">
    <w:name w:val="caption"/>
    <w:aliases w:val=" Char Char Char"/>
    <w:basedOn w:val="Normal"/>
    <w:next w:val="Normal"/>
    <w:link w:val="LegendaChar"/>
    <w:unhideWhenUsed/>
    <w:qFormat/>
    <w:rsid w:val="00D22F0F"/>
    <w:pPr>
      <w:spacing w:after="200"/>
    </w:pPr>
    <w:rPr>
      <w:i/>
      <w:iCs/>
      <w:color w:val="44546A" w:themeColor="text2"/>
      <w:sz w:val="18"/>
      <w:szCs w:val="18"/>
    </w:rPr>
  </w:style>
  <w:style w:type="character" w:customStyle="1" w:styleId="FigurasChar">
    <w:name w:val="Figuras Char"/>
    <w:basedOn w:val="Fontepargpadro"/>
    <w:link w:val="Figuras"/>
    <w:rsid w:val="00D22F0F"/>
    <w:rPr>
      <w:noProof/>
    </w:rPr>
  </w:style>
  <w:style w:type="paragraph" w:styleId="Ttulo">
    <w:name w:val="Title"/>
    <w:aliases w:val="Títulos Figuras"/>
    <w:basedOn w:val="Normal"/>
    <w:next w:val="Normal"/>
    <w:link w:val="TtuloChar"/>
    <w:uiPriority w:val="10"/>
    <w:qFormat/>
    <w:rsid w:val="00C52B35"/>
    <w:pPr>
      <w:spacing w:before="240" w:after="0"/>
      <w:jc w:val="center"/>
    </w:pPr>
    <w:rPr>
      <w:rFonts w:eastAsiaTheme="majorEastAsia" w:cs="Cairo"/>
      <w:spacing w:val="-10"/>
      <w:kern w:val="28"/>
    </w:rPr>
  </w:style>
  <w:style w:type="character" w:customStyle="1" w:styleId="TtuloChar">
    <w:name w:val="Título Char"/>
    <w:aliases w:val="Títulos Figuras Char"/>
    <w:basedOn w:val="Fontepargpadro"/>
    <w:link w:val="Ttulo"/>
    <w:uiPriority w:val="10"/>
    <w:rsid w:val="00C52B35"/>
    <w:rPr>
      <w:rFonts w:ascii="Arial" w:eastAsiaTheme="majorEastAsia" w:hAnsi="Arial" w:cs="Cairo"/>
      <w:spacing w:val="-10"/>
      <w:kern w:val="28"/>
    </w:rPr>
  </w:style>
  <w:style w:type="paragraph" w:styleId="Subttulo">
    <w:name w:val="Subtitle"/>
    <w:aliases w:val="Fontes das Figuras"/>
    <w:basedOn w:val="Normal"/>
    <w:next w:val="Normal"/>
    <w:link w:val="SubttuloChar"/>
    <w:uiPriority w:val="11"/>
    <w:qFormat/>
    <w:rsid w:val="00D22F0F"/>
    <w:pPr>
      <w:jc w:val="center"/>
    </w:pPr>
    <w:rPr>
      <w:sz w:val="20"/>
      <w:szCs w:val="20"/>
    </w:rPr>
  </w:style>
  <w:style w:type="character" w:customStyle="1" w:styleId="SubttuloChar">
    <w:name w:val="Subtítulo Char"/>
    <w:aliases w:val="Fontes das Figuras Char"/>
    <w:basedOn w:val="Fontepargpadro"/>
    <w:link w:val="Subttulo"/>
    <w:uiPriority w:val="11"/>
    <w:rsid w:val="00D22F0F"/>
    <w:rPr>
      <w:sz w:val="20"/>
      <w:szCs w:val="20"/>
    </w:rPr>
  </w:style>
  <w:style w:type="table" w:styleId="Tabelacomgrade">
    <w:name w:val="Table Grid"/>
    <w:basedOn w:val="Tabelanormal"/>
    <w:uiPriority w:val="39"/>
    <w:rsid w:val="00F12D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s">
    <w:name w:val="Tabelas"/>
    <w:basedOn w:val="Normal"/>
    <w:link w:val="TabelasChar"/>
    <w:qFormat/>
    <w:rsid w:val="00F12D02"/>
    <w:pPr>
      <w:spacing w:after="0"/>
      <w:jc w:val="center"/>
    </w:pPr>
  </w:style>
  <w:style w:type="character" w:customStyle="1" w:styleId="TabelasChar">
    <w:name w:val="Tabelas Char"/>
    <w:basedOn w:val="TtuloChar"/>
    <w:link w:val="Tabelas"/>
    <w:rsid w:val="00F12D02"/>
    <w:rPr>
      <w:rFonts w:ascii="Arial" w:eastAsiaTheme="majorEastAsia" w:hAnsi="Arial" w:cs="Cairo"/>
      <w:spacing w:val="-10"/>
      <w:kern w:val="28"/>
    </w:rPr>
  </w:style>
  <w:style w:type="paragraph" w:styleId="CabealhodoSumrio">
    <w:name w:val="TOC Heading"/>
    <w:basedOn w:val="Ttulo1"/>
    <w:next w:val="Normal"/>
    <w:uiPriority w:val="39"/>
    <w:unhideWhenUsed/>
    <w:qFormat/>
    <w:rsid w:val="006E790F"/>
    <w:pPr>
      <w:keepNext/>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pt-BR"/>
    </w:rPr>
  </w:style>
  <w:style w:type="paragraph" w:styleId="Sumrio1">
    <w:name w:val="toc 1"/>
    <w:basedOn w:val="Normal"/>
    <w:next w:val="Normal"/>
    <w:autoRedefine/>
    <w:uiPriority w:val="39"/>
    <w:unhideWhenUsed/>
    <w:rsid w:val="006E790F"/>
    <w:pPr>
      <w:spacing w:after="100"/>
    </w:pPr>
  </w:style>
  <w:style w:type="paragraph" w:styleId="Sumrio2">
    <w:name w:val="toc 2"/>
    <w:basedOn w:val="Normal"/>
    <w:next w:val="Normal"/>
    <w:autoRedefine/>
    <w:uiPriority w:val="39"/>
    <w:unhideWhenUsed/>
    <w:rsid w:val="00E96D7C"/>
    <w:pPr>
      <w:tabs>
        <w:tab w:val="left" w:pos="567"/>
        <w:tab w:val="right" w:leader="dot" w:pos="9004"/>
      </w:tabs>
      <w:spacing w:after="100"/>
    </w:pPr>
  </w:style>
  <w:style w:type="character" w:styleId="Hyperlink">
    <w:name w:val="Hyperlink"/>
    <w:basedOn w:val="Fontepargpadro"/>
    <w:uiPriority w:val="99"/>
    <w:unhideWhenUsed/>
    <w:rsid w:val="006E790F"/>
    <w:rPr>
      <w:color w:val="0563C1" w:themeColor="hyperlink"/>
      <w:u w:val="single"/>
    </w:rPr>
  </w:style>
  <w:style w:type="paragraph" w:styleId="Sumrio3">
    <w:name w:val="toc 3"/>
    <w:basedOn w:val="Normal"/>
    <w:next w:val="Normal"/>
    <w:autoRedefine/>
    <w:uiPriority w:val="39"/>
    <w:unhideWhenUsed/>
    <w:rsid w:val="00154536"/>
    <w:pPr>
      <w:spacing w:after="100"/>
      <w:ind w:left="440"/>
    </w:pPr>
  </w:style>
  <w:style w:type="paragraph" w:styleId="Textodenotaderodap">
    <w:name w:val="footnote text"/>
    <w:basedOn w:val="Normal"/>
    <w:link w:val="TextodenotaderodapChar"/>
    <w:uiPriority w:val="99"/>
    <w:semiHidden/>
    <w:unhideWhenUsed/>
    <w:rsid w:val="00A97E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97E2B"/>
    <w:rPr>
      <w:sz w:val="20"/>
      <w:szCs w:val="20"/>
    </w:rPr>
  </w:style>
  <w:style w:type="character" w:styleId="Refdenotaderodap">
    <w:name w:val="footnote reference"/>
    <w:basedOn w:val="Fontepargpadro"/>
    <w:uiPriority w:val="99"/>
    <w:semiHidden/>
    <w:unhideWhenUsed/>
    <w:rsid w:val="00A97E2B"/>
    <w:rPr>
      <w:vertAlign w:val="superscript"/>
    </w:rPr>
  </w:style>
  <w:style w:type="character" w:styleId="Nmerodepgina">
    <w:name w:val="page number"/>
    <w:basedOn w:val="Fontepargpadro"/>
    <w:uiPriority w:val="99"/>
    <w:unhideWhenUsed/>
    <w:rsid w:val="003D589E"/>
  </w:style>
  <w:style w:type="character" w:styleId="MenoPendente">
    <w:name w:val="Unresolved Mention"/>
    <w:basedOn w:val="Fontepargpadro"/>
    <w:uiPriority w:val="99"/>
    <w:semiHidden/>
    <w:unhideWhenUsed/>
    <w:rsid w:val="00481450"/>
    <w:rPr>
      <w:color w:val="605E5C"/>
      <w:shd w:val="clear" w:color="auto" w:fill="E1DFDD"/>
    </w:rPr>
  </w:style>
  <w:style w:type="paragraph" w:styleId="Citao">
    <w:name w:val="Quote"/>
    <w:basedOn w:val="Normal"/>
    <w:next w:val="Normal"/>
    <w:link w:val="CitaoChar"/>
    <w:uiPriority w:val="29"/>
    <w:qFormat/>
    <w:rsid w:val="00657FA5"/>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657FA5"/>
    <w:rPr>
      <w:rFonts w:ascii="Arial" w:hAnsi="Arial" w:cs="Arial"/>
      <w:i/>
      <w:iCs/>
      <w:color w:val="404040" w:themeColor="text1" w:themeTint="BF"/>
    </w:rPr>
  </w:style>
  <w:style w:type="table" w:customStyle="1" w:styleId="TableNormal1">
    <w:name w:val="Table Normal1"/>
    <w:uiPriority w:val="2"/>
    <w:semiHidden/>
    <w:unhideWhenUsed/>
    <w:qFormat/>
    <w:rsid w:val="009710DC"/>
    <w:pPr>
      <w:widowControl w:val="0"/>
      <w:autoSpaceDE w:val="0"/>
      <w:autoSpaceDN w:val="0"/>
      <w:spacing w:after="0"/>
    </w:pPr>
    <w:rPr>
      <w:rFonts w:asciiTheme="minorHAnsi" w:hAnsiTheme="minorHAns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10DC"/>
    <w:pPr>
      <w:widowControl w:val="0"/>
      <w:autoSpaceDE w:val="0"/>
      <w:autoSpaceDN w:val="0"/>
      <w:spacing w:after="0" w:line="240" w:lineRule="auto"/>
      <w:jc w:val="left"/>
    </w:pPr>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53770F"/>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iPriority w:val="1"/>
    <w:qFormat/>
    <w:rsid w:val="00814A1F"/>
    <w:pPr>
      <w:widowControl w:val="0"/>
      <w:autoSpaceDE w:val="0"/>
      <w:autoSpaceDN w:val="0"/>
      <w:spacing w:after="0" w:line="240" w:lineRule="auto"/>
      <w:jc w:val="left"/>
    </w:pPr>
    <w:rPr>
      <w:rFonts w:eastAsia="Arial"/>
      <w:lang w:val="pt-PT"/>
    </w:rPr>
  </w:style>
  <w:style w:type="character" w:customStyle="1" w:styleId="CorpodetextoChar">
    <w:name w:val="Corpo de texto Char"/>
    <w:basedOn w:val="Fontepargpadro"/>
    <w:link w:val="Corpodetexto"/>
    <w:uiPriority w:val="1"/>
    <w:rsid w:val="00814A1F"/>
    <w:rPr>
      <w:rFonts w:ascii="Arial" w:eastAsia="Arial" w:hAnsi="Arial" w:cs="Arial"/>
      <w:color w:val="auto"/>
      <w:lang w:val="pt-PT"/>
    </w:rPr>
  </w:style>
  <w:style w:type="paragraph" w:customStyle="1" w:styleId="paragraph">
    <w:name w:val="paragraph"/>
    <w:basedOn w:val="Normal"/>
    <w:rsid w:val="006A793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A793D"/>
  </w:style>
  <w:style w:type="character" w:customStyle="1" w:styleId="eop">
    <w:name w:val="eop"/>
    <w:basedOn w:val="Fontepargpadro"/>
    <w:rsid w:val="006A793D"/>
  </w:style>
  <w:style w:type="character" w:customStyle="1" w:styleId="tabchar">
    <w:name w:val="tabchar"/>
    <w:basedOn w:val="Fontepargpadro"/>
    <w:rsid w:val="006A793D"/>
  </w:style>
  <w:style w:type="character" w:styleId="Refdecomentrio">
    <w:name w:val="annotation reference"/>
    <w:basedOn w:val="Fontepargpadro"/>
    <w:uiPriority w:val="99"/>
    <w:semiHidden/>
    <w:unhideWhenUsed/>
    <w:rsid w:val="003C3D56"/>
    <w:rPr>
      <w:sz w:val="16"/>
      <w:szCs w:val="16"/>
    </w:rPr>
  </w:style>
  <w:style w:type="paragraph" w:styleId="Textodecomentrio">
    <w:name w:val="annotation text"/>
    <w:basedOn w:val="Normal"/>
    <w:link w:val="TextodecomentrioChar"/>
    <w:uiPriority w:val="99"/>
    <w:unhideWhenUsed/>
    <w:rsid w:val="003C3D56"/>
    <w:pPr>
      <w:spacing w:line="240" w:lineRule="auto"/>
    </w:pPr>
    <w:rPr>
      <w:sz w:val="20"/>
      <w:szCs w:val="20"/>
    </w:rPr>
  </w:style>
  <w:style w:type="character" w:customStyle="1" w:styleId="TextodecomentrioChar">
    <w:name w:val="Texto de comentário Char"/>
    <w:basedOn w:val="Fontepargpadro"/>
    <w:link w:val="Textodecomentrio"/>
    <w:uiPriority w:val="99"/>
    <w:rsid w:val="003C3D56"/>
    <w:rPr>
      <w:rFonts w:ascii="Arial" w:hAnsi="Arial" w:cs="Arial"/>
      <w:color w:val="auto"/>
      <w:sz w:val="20"/>
      <w:szCs w:val="20"/>
    </w:rPr>
  </w:style>
  <w:style w:type="paragraph" w:styleId="Assuntodocomentrio">
    <w:name w:val="annotation subject"/>
    <w:basedOn w:val="Textodecomentrio"/>
    <w:next w:val="Textodecomentrio"/>
    <w:link w:val="AssuntodocomentrioChar"/>
    <w:uiPriority w:val="99"/>
    <w:semiHidden/>
    <w:unhideWhenUsed/>
    <w:rsid w:val="003C3D56"/>
    <w:rPr>
      <w:b/>
      <w:bCs/>
    </w:rPr>
  </w:style>
  <w:style w:type="character" w:customStyle="1" w:styleId="AssuntodocomentrioChar">
    <w:name w:val="Assunto do comentário Char"/>
    <w:basedOn w:val="TextodecomentrioChar"/>
    <w:link w:val="Assuntodocomentrio"/>
    <w:uiPriority w:val="99"/>
    <w:semiHidden/>
    <w:rsid w:val="003C3D56"/>
    <w:rPr>
      <w:rFonts w:ascii="Arial" w:hAnsi="Arial" w:cs="Arial"/>
      <w:b/>
      <w:bCs/>
      <w:color w:val="auto"/>
      <w:sz w:val="20"/>
      <w:szCs w:val="20"/>
    </w:rPr>
  </w:style>
  <w:style w:type="paragraph" w:styleId="Reviso">
    <w:name w:val="Revision"/>
    <w:hidden/>
    <w:uiPriority w:val="99"/>
    <w:semiHidden/>
    <w:rsid w:val="00F34D3F"/>
    <w:pPr>
      <w:spacing w:after="0"/>
    </w:pPr>
    <w:rPr>
      <w:rFonts w:ascii="Arial" w:hAnsi="Arial" w:cs="Arial"/>
      <w:color w:val="auto"/>
    </w:rPr>
  </w:style>
  <w:style w:type="paragraph" w:styleId="NormalWeb">
    <w:name w:val="Normal (Web)"/>
    <w:basedOn w:val="Normal"/>
    <w:uiPriority w:val="99"/>
    <w:unhideWhenUsed/>
    <w:rsid w:val="00B1684E"/>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684E"/>
    <w:rPr>
      <w:b/>
      <w:bCs/>
    </w:rPr>
  </w:style>
  <w:style w:type="paragraph" w:customStyle="1" w:styleId="Ttulo2Seo11comttulo">
    <w:name w:val="Título 2 Seção 1.1 com título"/>
    <w:basedOn w:val="Normal"/>
    <w:rsid w:val="00BC5A30"/>
    <w:pPr>
      <w:keepNext/>
      <w:tabs>
        <w:tab w:val="num" w:pos="561"/>
      </w:tabs>
      <w:suppressAutoHyphens/>
      <w:spacing w:after="240" w:line="230" w:lineRule="atLeast"/>
      <w:outlineLvl w:val="1"/>
    </w:pPr>
    <w:rPr>
      <w:rFonts w:eastAsia="Times New Roman" w:cs="Times New Roman"/>
      <w:b/>
      <w:bCs/>
      <w:sz w:val="24"/>
      <w:szCs w:val="26"/>
      <w:lang w:eastAsia="ja-JP"/>
    </w:rPr>
  </w:style>
  <w:style w:type="paragraph" w:customStyle="1" w:styleId="Pargrafo11pt">
    <w:name w:val="Parágrafo 11 pt"/>
    <w:uiPriority w:val="99"/>
    <w:qFormat/>
    <w:rsid w:val="001F6622"/>
    <w:pPr>
      <w:tabs>
        <w:tab w:val="left" w:pos="10773"/>
      </w:tabs>
      <w:spacing w:after="240" w:line="230" w:lineRule="atLeast"/>
      <w:jc w:val="both"/>
    </w:pPr>
    <w:rPr>
      <w:rFonts w:ascii="Arial" w:eastAsia="Times New Roman" w:hAnsi="Arial" w:cs="Times New Roman"/>
      <w:noProof/>
      <w:color w:val="auto"/>
      <w:szCs w:val="24"/>
      <w:lang w:eastAsia="pt-BR"/>
    </w:rPr>
  </w:style>
  <w:style w:type="paragraph" w:customStyle="1" w:styleId="definio11">
    <w:name w:val="definição 1.1"/>
    <w:basedOn w:val="Ttulo2Seo11comttulo"/>
    <w:next w:val="Pargrafo11pt"/>
    <w:rsid w:val="00EE6C34"/>
    <w:pPr>
      <w:spacing w:after="0" w:line="0" w:lineRule="atLeast"/>
    </w:pPr>
    <w:rPr>
      <w:sz w:val="22"/>
    </w:rPr>
  </w:style>
  <w:style w:type="character" w:customStyle="1" w:styleId="LegendaChar">
    <w:name w:val="Legenda Char"/>
    <w:aliases w:val=" Char Char Char Char"/>
    <w:link w:val="Legenda"/>
    <w:rsid w:val="00BD2B60"/>
    <w:rPr>
      <w:rFonts w:ascii="Arial" w:hAnsi="Arial" w:cs="Arial"/>
      <w:i/>
      <w:iCs/>
      <w:color w:val="44546A" w:themeColor="text2"/>
      <w:sz w:val="18"/>
      <w:szCs w:val="18"/>
    </w:rPr>
  </w:style>
  <w:style w:type="paragraph" w:customStyle="1" w:styleId="Tpicosdaapresentao">
    <w:name w:val="Tópicos da apresentação"/>
    <w:basedOn w:val="Normal"/>
    <w:rsid w:val="00183D00"/>
    <w:pPr>
      <w:numPr>
        <w:numId w:val="13"/>
      </w:numPr>
      <w:spacing w:before="180" w:after="240" w:line="220" w:lineRule="atLeast"/>
    </w:pPr>
    <w:rPr>
      <w:rFonts w:eastAsia="Times New Roman" w:cs="Times New Roman"/>
      <w:noProof/>
      <w:spacing w:val="8"/>
      <w:lang w:eastAsia="pt-BR"/>
    </w:rPr>
  </w:style>
  <w:style w:type="character" w:customStyle="1" w:styleId="Ttulo8Char">
    <w:name w:val="Título 8 Char"/>
    <w:basedOn w:val="Fontepargpadro"/>
    <w:link w:val="Ttulo8"/>
    <w:rsid w:val="006C4C1C"/>
    <w:rPr>
      <w:rFonts w:ascii="Arial" w:eastAsia="MS Mincho" w:hAnsi="Arial" w:cs="Times New Roman"/>
      <w:b/>
      <w:color w:val="auto"/>
      <w:szCs w:val="24"/>
      <w:lang w:val="en-GB" w:eastAsia="ja-JP"/>
    </w:rPr>
  </w:style>
  <w:style w:type="character" w:customStyle="1" w:styleId="Ttulo9Char">
    <w:name w:val="Título 9 Char"/>
    <w:basedOn w:val="Fontepargpadro"/>
    <w:link w:val="Ttulo9"/>
    <w:rsid w:val="006C4C1C"/>
    <w:rPr>
      <w:rFonts w:ascii="Arial" w:eastAsia="MS Mincho" w:hAnsi="Arial" w:cs="Times New Roman"/>
      <w:b/>
      <w:color w:val="auto"/>
      <w:szCs w:val="24"/>
      <w:lang w:val="en-GB" w:eastAsia="ja-JP"/>
    </w:rPr>
  </w:style>
  <w:style w:type="paragraph" w:customStyle="1" w:styleId="Ttulo6Seo111111comttulo">
    <w:name w:val="Título 6 Seção 1.1.1.1.1.1 com título"/>
    <w:basedOn w:val="Ttulo6"/>
    <w:rsid w:val="006C4C1C"/>
    <w:pPr>
      <w:keepLines w:val="0"/>
      <w:tabs>
        <w:tab w:val="left" w:pos="360"/>
        <w:tab w:val="left" w:pos="1260"/>
      </w:tabs>
      <w:suppressAutoHyphens/>
      <w:spacing w:before="0" w:after="240" w:line="230" w:lineRule="atLeast"/>
      <w:ind w:left="4320" w:hanging="360"/>
    </w:pPr>
    <w:rPr>
      <w:rFonts w:ascii="Arial" w:eastAsia="MS Mincho" w:hAnsi="Arial" w:cs="Times New Roman"/>
      <w:b/>
      <w:color w:val="auto"/>
      <w:szCs w:val="24"/>
      <w:lang w:val="en-GB" w:eastAsia="ja-JP"/>
    </w:rPr>
  </w:style>
  <w:style w:type="paragraph" w:customStyle="1" w:styleId="Ttulo4Seo1111comttulo">
    <w:name w:val="Título 4 Seção 1.1.1.1 com título"/>
    <w:basedOn w:val="Ttulo4"/>
    <w:rsid w:val="006C4C1C"/>
    <w:pPr>
      <w:keepNext/>
      <w:numPr>
        <w:ilvl w:val="0"/>
        <w:numId w:val="0"/>
      </w:numPr>
      <w:tabs>
        <w:tab w:val="left" w:pos="800"/>
        <w:tab w:val="left" w:pos="940"/>
      </w:tabs>
      <w:suppressAutoHyphens/>
      <w:spacing w:after="240" w:line="230" w:lineRule="atLeast"/>
      <w:jc w:val="left"/>
    </w:pPr>
    <w:rPr>
      <w:rFonts w:eastAsia="MS Mincho" w:cs="Times New Roman"/>
      <w:i w:val="0"/>
      <w:szCs w:val="24"/>
      <w:u w:val="none"/>
      <w:lang w:eastAsia="ja-JP"/>
    </w:rPr>
  </w:style>
  <w:style w:type="character" w:customStyle="1" w:styleId="Ttulo6Char">
    <w:name w:val="Título 6 Char"/>
    <w:basedOn w:val="Fontepargpadro"/>
    <w:link w:val="Ttulo6"/>
    <w:uiPriority w:val="9"/>
    <w:semiHidden/>
    <w:rsid w:val="006C4C1C"/>
    <w:rPr>
      <w:rFonts w:asciiTheme="majorHAnsi" w:eastAsiaTheme="majorEastAsia" w:hAnsiTheme="majorHAnsi" w:cstheme="majorBidi"/>
      <w:color w:val="1F3763" w:themeColor="accent1" w:themeShade="7F"/>
    </w:rPr>
  </w:style>
  <w:style w:type="paragraph" w:customStyle="1" w:styleId="Tabela-CorpoCentroNegrito11pt">
    <w:name w:val="Tabela - Corpo Centro Negrito 11pt"/>
    <w:basedOn w:val="Normal"/>
    <w:rsid w:val="00ED6804"/>
    <w:pPr>
      <w:spacing w:before="60" w:after="60" w:line="240" w:lineRule="auto"/>
      <w:ind w:left="62" w:right="62"/>
      <w:jc w:val="center"/>
    </w:pPr>
    <w:rPr>
      <w:rFonts w:eastAsia="Times New Roman" w:cs="Times New Roman"/>
      <w:b/>
      <w:bCs/>
      <w:noProof/>
      <w:szCs w:val="20"/>
      <w:lang w:eastAsia="pt-BR"/>
    </w:rPr>
  </w:style>
  <w:style w:type="paragraph" w:customStyle="1" w:styleId="Tabela-CorpoCentroNormal11pt">
    <w:name w:val="Tabela - Corpo Centro Normal 11pt"/>
    <w:rsid w:val="00ED6804"/>
    <w:pPr>
      <w:spacing w:before="60" w:after="60"/>
      <w:ind w:left="60" w:right="60"/>
      <w:jc w:val="center"/>
    </w:pPr>
    <w:rPr>
      <w:rFonts w:ascii="Arial" w:eastAsia="Times New Roman" w:hAnsi="Arial" w:cs="Times New Roman"/>
      <w:noProof/>
      <w:color w:val="auto"/>
      <w:szCs w:val="20"/>
      <w:lang w:eastAsia="pt-BR"/>
    </w:rPr>
  </w:style>
  <w:style w:type="paragraph" w:customStyle="1" w:styleId="Tabela-Ttulocomnumerao">
    <w:name w:val="Tabela - Título com numeração"/>
    <w:next w:val="Normal"/>
    <w:rsid w:val="00ED6804"/>
    <w:pPr>
      <w:numPr>
        <w:numId w:val="14"/>
      </w:numPr>
      <w:suppressAutoHyphens/>
      <w:spacing w:before="120" w:after="120" w:line="230" w:lineRule="atLeast"/>
      <w:jc w:val="center"/>
    </w:pPr>
    <w:rPr>
      <w:rFonts w:ascii="Arial" w:eastAsia="MS Mincho" w:hAnsi="Arial" w:cs="Times New Roman"/>
      <w:b/>
      <w:color w:val="auto"/>
      <w:szCs w:val="20"/>
      <w:lang w:eastAsia="ja-JP"/>
    </w:rPr>
  </w:style>
  <w:style w:type="paragraph" w:customStyle="1" w:styleId="TermoItem">
    <w:name w:val="Termo Item"/>
    <w:basedOn w:val="Ttulo2"/>
    <w:next w:val="Normal"/>
    <w:rsid w:val="00ED6804"/>
    <w:pPr>
      <w:keepNext/>
      <w:numPr>
        <w:numId w:val="14"/>
      </w:numPr>
      <w:tabs>
        <w:tab w:val="left" w:pos="360"/>
      </w:tabs>
      <w:suppressAutoHyphens/>
      <w:spacing w:before="60" w:after="0" w:line="250" w:lineRule="exact"/>
    </w:pPr>
    <w:rPr>
      <w:rFonts w:eastAsia="MS Mincho" w:cs="Times New Roman"/>
      <w:color w:val="FF0000"/>
      <w:szCs w:val="20"/>
      <w:lang w:val="en-GB" w:eastAsia="ja-JP"/>
    </w:rPr>
  </w:style>
  <w:style w:type="paragraph" w:customStyle="1" w:styleId="Prefcio">
    <w:name w:val="Prefácio"/>
    <w:basedOn w:val="Normal"/>
    <w:autoRedefine/>
    <w:rsid w:val="00B81FDF"/>
    <w:pPr>
      <w:spacing w:before="120" w:after="240" w:line="220" w:lineRule="atLeast"/>
    </w:pPr>
    <w:rPr>
      <w:rFonts w:eastAsia="Times New Roman"/>
      <w:b/>
      <w:noProof/>
      <w:sz w:val="28"/>
      <w:szCs w:val="32"/>
      <w:lang w:eastAsia="pt-BR"/>
    </w:rPr>
  </w:style>
  <w:style w:type="paragraph" w:customStyle="1" w:styleId="Scopettuloitlico">
    <w:name w:val="Scope título itálico"/>
    <w:next w:val="Normal"/>
    <w:rsid w:val="00B81FDF"/>
    <w:pPr>
      <w:spacing w:before="270" w:after="240" w:line="230" w:lineRule="atLeast"/>
      <w:jc w:val="both"/>
    </w:pPr>
    <w:rPr>
      <w:rFonts w:ascii="Arial" w:eastAsia="Times New Roman" w:hAnsi="Arial" w:cs="Times New Roman"/>
      <w:b/>
      <w:bCs/>
      <w:i/>
      <w:iCs/>
      <w:color w:val="000000"/>
      <w:sz w:val="26"/>
      <w:szCs w:val="24"/>
      <w:lang w:eastAsia="pt-BR"/>
    </w:rPr>
  </w:style>
  <w:style w:type="paragraph" w:customStyle="1" w:styleId="Ttulodoprojeto">
    <w:name w:val="Título do projeto"/>
    <w:next w:val="Normal"/>
    <w:rsid w:val="00B81FDF"/>
    <w:pPr>
      <w:widowControl w:val="0"/>
      <w:spacing w:after="240" w:line="230" w:lineRule="atLeast"/>
    </w:pPr>
    <w:rPr>
      <w:rFonts w:ascii="Arial" w:eastAsia="Times New Roman" w:hAnsi="Arial" w:cs="Times New Roman"/>
      <w:b/>
      <w:color w:val="auto"/>
      <w:sz w:val="28"/>
      <w:szCs w:val="28"/>
      <w:lang w:eastAsia="pt-BR"/>
    </w:rPr>
  </w:style>
  <w:style w:type="paragraph" w:customStyle="1" w:styleId="APRESENTAO">
    <w:name w:val="APRESENTAÇÂO"/>
    <w:basedOn w:val="Normal"/>
    <w:rsid w:val="00B81FDF"/>
    <w:pPr>
      <w:widowControl w:val="0"/>
      <w:spacing w:after="0" w:line="230" w:lineRule="atLeast"/>
      <w:jc w:val="center"/>
    </w:pPr>
    <w:rPr>
      <w:rFonts w:eastAsia="Times New Roman" w:cs="Times New Roman"/>
      <w:b/>
      <w:bCs/>
      <w:caps/>
      <w:sz w:val="24"/>
      <w:szCs w:val="24"/>
      <w:lang w:eastAsia="pt-BR"/>
    </w:rPr>
  </w:style>
  <w:style w:type="paragraph" w:customStyle="1" w:styleId="Datadareunio">
    <w:name w:val="Data da reunião"/>
    <w:rsid w:val="00B81FDF"/>
    <w:pPr>
      <w:widowControl w:val="0"/>
      <w:spacing w:before="80" w:after="80"/>
      <w:jc w:val="center"/>
    </w:pPr>
    <w:rPr>
      <w:rFonts w:ascii="Arial" w:eastAsia="Times New Roman" w:hAnsi="Arial" w:cs="Times New Roman"/>
      <w:noProof/>
      <w:color w:val="auto"/>
      <w:spacing w:val="8"/>
      <w:szCs w:val="20"/>
      <w:lang w:eastAsia="pt-BR"/>
    </w:rPr>
  </w:style>
  <w:style w:type="paragraph" w:customStyle="1" w:styleId="TtulodoprojetoemIngls">
    <w:name w:val="Título do projeto em Inglês"/>
    <w:basedOn w:val="Normal"/>
    <w:rsid w:val="00B81FDF"/>
    <w:pPr>
      <w:widowControl w:val="0"/>
      <w:spacing w:after="0" w:line="230" w:lineRule="atLeast"/>
    </w:pPr>
    <w:rPr>
      <w:rFonts w:eastAsia="Times New Roman" w:cs="Times New Roman"/>
      <w:i/>
      <w:iCs/>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6214">
      <w:bodyDiv w:val="1"/>
      <w:marLeft w:val="0"/>
      <w:marRight w:val="0"/>
      <w:marTop w:val="0"/>
      <w:marBottom w:val="0"/>
      <w:divBdr>
        <w:top w:val="none" w:sz="0" w:space="0" w:color="auto"/>
        <w:left w:val="none" w:sz="0" w:space="0" w:color="auto"/>
        <w:bottom w:val="none" w:sz="0" w:space="0" w:color="auto"/>
        <w:right w:val="none" w:sz="0" w:space="0" w:color="auto"/>
      </w:divBdr>
    </w:div>
    <w:div w:id="167869049">
      <w:bodyDiv w:val="1"/>
      <w:marLeft w:val="0"/>
      <w:marRight w:val="0"/>
      <w:marTop w:val="0"/>
      <w:marBottom w:val="0"/>
      <w:divBdr>
        <w:top w:val="none" w:sz="0" w:space="0" w:color="auto"/>
        <w:left w:val="none" w:sz="0" w:space="0" w:color="auto"/>
        <w:bottom w:val="none" w:sz="0" w:space="0" w:color="auto"/>
        <w:right w:val="none" w:sz="0" w:space="0" w:color="auto"/>
      </w:divBdr>
    </w:div>
    <w:div w:id="169368877">
      <w:bodyDiv w:val="1"/>
      <w:marLeft w:val="0"/>
      <w:marRight w:val="0"/>
      <w:marTop w:val="0"/>
      <w:marBottom w:val="0"/>
      <w:divBdr>
        <w:top w:val="none" w:sz="0" w:space="0" w:color="auto"/>
        <w:left w:val="none" w:sz="0" w:space="0" w:color="auto"/>
        <w:bottom w:val="none" w:sz="0" w:space="0" w:color="auto"/>
        <w:right w:val="none" w:sz="0" w:space="0" w:color="auto"/>
      </w:divBdr>
    </w:div>
    <w:div w:id="179324520">
      <w:bodyDiv w:val="1"/>
      <w:marLeft w:val="0"/>
      <w:marRight w:val="0"/>
      <w:marTop w:val="0"/>
      <w:marBottom w:val="0"/>
      <w:divBdr>
        <w:top w:val="none" w:sz="0" w:space="0" w:color="auto"/>
        <w:left w:val="none" w:sz="0" w:space="0" w:color="auto"/>
        <w:bottom w:val="none" w:sz="0" w:space="0" w:color="auto"/>
        <w:right w:val="none" w:sz="0" w:space="0" w:color="auto"/>
      </w:divBdr>
    </w:div>
    <w:div w:id="297148083">
      <w:bodyDiv w:val="1"/>
      <w:marLeft w:val="0"/>
      <w:marRight w:val="0"/>
      <w:marTop w:val="0"/>
      <w:marBottom w:val="0"/>
      <w:divBdr>
        <w:top w:val="none" w:sz="0" w:space="0" w:color="auto"/>
        <w:left w:val="none" w:sz="0" w:space="0" w:color="auto"/>
        <w:bottom w:val="none" w:sz="0" w:space="0" w:color="auto"/>
        <w:right w:val="none" w:sz="0" w:space="0" w:color="auto"/>
      </w:divBdr>
    </w:div>
    <w:div w:id="381293414">
      <w:bodyDiv w:val="1"/>
      <w:marLeft w:val="0"/>
      <w:marRight w:val="0"/>
      <w:marTop w:val="0"/>
      <w:marBottom w:val="0"/>
      <w:divBdr>
        <w:top w:val="none" w:sz="0" w:space="0" w:color="auto"/>
        <w:left w:val="none" w:sz="0" w:space="0" w:color="auto"/>
        <w:bottom w:val="none" w:sz="0" w:space="0" w:color="auto"/>
        <w:right w:val="none" w:sz="0" w:space="0" w:color="auto"/>
      </w:divBdr>
    </w:div>
    <w:div w:id="409501273">
      <w:bodyDiv w:val="1"/>
      <w:marLeft w:val="0"/>
      <w:marRight w:val="0"/>
      <w:marTop w:val="0"/>
      <w:marBottom w:val="0"/>
      <w:divBdr>
        <w:top w:val="none" w:sz="0" w:space="0" w:color="auto"/>
        <w:left w:val="none" w:sz="0" w:space="0" w:color="auto"/>
        <w:bottom w:val="none" w:sz="0" w:space="0" w:color="auto"/>
        <w:right w:val="none" w:sz="0" w:space="0" w:color="auto"/>
      </w:divBdr>
    </w:div>
    <w:div w:id="416903512">
      <w:bodyDiv w:val="1"/>
      <w:marLeft w:val="0"/>
      <w:marRight w:val="0"/>
      <w:marTop w:val="0"/>
      <w:marBottom w:val="0"/>
      <w:divBdr>
        <w:top w:val="none" w:sz="0" w:space="0" w:color="auto"/>
        <w:left w:val="none" w:sz="0" w:space="0" w:color="auto"/>
        <w:bottom w:val="none" w:sz="0" w:space="0" w:color="auto"/>
        <w:right w:val="none" w:sz="0" w:space="0" w:color="auto"/>
      </w:divBdr>
    </w:div>
    <w:div w:id="453988307">
      <w:bodyDiv w:val="1"/>
      <w:marLeft w:val="0"/>
      <w:marRight w:val="0"/>
      <w:marTop w:val="0"/>
      <w:marBottom w:val="0"/>
      <w:divBdr>
        <w:top w:val="none" w:sz="0" w:space="0" w:color="auto"/>
        <w:left w:val="none" w:sz="0" w:space="0" w:color="auto"/>
        <w:bottom w:val="none" w:sz="0" w:space="0" w:color="auto"/>
        <w:right w:val="none" w:sz="0" w:space="0" w:color="auto"/>
      </w:divBdr>
    </w:div>
    <w:div w:id="465706961">
      <w:bodyDiv w:val="1"/>
      <w:marLeft w:val="0"/>
      <w:marRight w:val="0"/>
      <w:marTop w:val="0"/>
      <w:marBottom w:val="0"/>
      <w:divBdr>
        <w:top w:val="none" w:sz="0" w:space="0" w:color="auto"/>
        <w:left w:val="none" w:sz="0" w:space="0" w:color="auto"/>
        <w:bottom w:val="none" w:sz="0" w:space="0" w:color="auto"/>
        <w:right w:val="none" w:sz="0" w:space="0" w:color="auto"/>
      </w:divBdr>
    </w:div>
    <w:div w:id="471286756">
      <w:bodyDiv w:val="1"/>
      <w:marLeft w:val="0"/>
      <w:marRight w:val="0"/>
      <w:marTop w:val="0"/>
      <w:marBottom w:val="0"/>
      <w:divBdr>
        <w:top w:val="none" w:sz="0" w:space="0" w:color="auto"/>
        <w:left w:val="none" w:sz="0" w:space="0" w:color="auto"/>
        <w:bottom w:val="none" w:sz="0" w:space="0" w:color="auto"/>
        <w:right w:val="none" w:sz="0" w:space="0" w:color="auto"/>
      </w:divBdr>
    </w:div>
    <w:div w:id="506212372">
      <w:bodyDiv w:val="1"/>
      <w:marLeft w:val="0"/>
      <w:marRight w:val="0"/>
      <w:marTop w:val="0"/>
      <w:marBottom w:val="0"/>
      <w:divBdr>
        <w:top w:val="none" w:sz="0" w:space="0" w:color="auto"/>
        <w:left w:val="none" w:sz="0" w:space="0" w:color="auto"/>
        <w:bottom w:val="none" w:sz="0" w:space="0" w:color="auto"/>
        <w:right w:val="none" w:sz="0" w:space="0" w:color="auto"/>
      </w:divBdr>
    </w:div>
    <w:div w:id="513300337">
      <w:bodyDiv w:val="1"/>
      <w:marLeft w:val="0"/>
      <w:marRight w:val="0"/>
      <w:marTop w:val="0"/>
      <w:marBottom w:val="0"/>
      <w:divBdr>
        <w:top w:val="none" w:sz="0" w:space="0" w:color="auto"/>
        <w:left w:val="none" w:sz="0" w:space="0" w:color="auto"/>
        <w:bottom w:val="none" w:sz="0" w:space="0" w:color="auto"/>
        <w:right w:val="none" w:sz="0" w:space="0" w:color="auto"/>
      </w:divBdr>
    </w:div>
    <w:div w:id="583074531">
      <w:bodyDiv w:val="1"/>
      <w:marLeft w:val="0"/>
      <w:marRight w:val="0"/>
      <w:marTop w:val="0"/>
      <w:marBottom w:val="0"/>
      <w:divBdr>
        <w:top w:val="none" w:sz="0" w:space="0" w:color="auto"/>
        <w:left w:val="none" w:sz="0" w:space="0" w:color="auto"/>
        <w:bottom w:val="none" w:sz="0" w:space="0" w:color="auto"/>
        <w:right w:val="none" w:sz="0" w:space="0" w:color="auto"/>
      </w:divBdr>
    </w:div>
    <w:div w:id="748356374">
      <w:bodyDiv w:val="1"/>
      <w:marLeft w:val="0"/>
      <w:marRight w:val="0"/>
      <w:marTop w:val="0"/>
      <w:marBottom w:val="0"/>
      <w:divBdr>
        <w:top w:val="none" w:sz="0" w:space="0" w:color="auto"/>
        <w:left w:val="none" w:sz="0" w:space="0" w:color="auto"/>
        <w:bottom w:val="none" w:sz="0" w:space="0" w:color="auto"/>
        <w:right w:val="none" w:sz="0" w:space="0" w:color="auto"/>
      </w:divBdr>
    </w:div>
    <w:div w:id="778793802">
      <w:bodyDiv w:val="1"/>
      <w:marLeft w:val="0"/>
      <w:marRight w:val="0"/>
      <w:marTop w:val="0"/>
      <w:marBottom w:val="0"/>
      <w:divBdr>
        <w:top w:val="none" w:sz="0" w:space="0" w:color="auto"/>
        <w:left w:val="none" w:sz="0" w:space="0" w:color="auto"/>
        <w:bottom w:val="none" w:sz="0" w:space="0" w:color="auto"/>
        <w:right w:val="none" w:sz="0" w:space="0" w:color="auto"/>
      </w:divBdr>
    </w:div>
    <w:div w:id="877742490">
      <w:bodyDiv w:val="1"/>
      <w:marLeft w:val="0"/>
      <w:marRight w:val="0"/>
      <w:marTop w:val="0"/>
      <w:marBottom w:val="0"/>
      <w:divBdr>
        <w:top w:val="none" w:sz="0" w:space="0" w:color="auto"/>
        <w:left w:val="none" w:sz="0" w:space="0" w:color="auto"/>
        <w:bottom w:val="none" w:sz="0" w:space="0" w:color="auto"/>
        <w:right w:val="none" w:sz="0" w:space="0" w:color="auto"/>
      </w:divBdr>
    </w:div>
    <w:div w:id="929044942">
      <w:bodyDiv w:val="1"/>
      <w:marLeft w:val="0"/>
      <w:marRight w:val="0"/>
      <w:marTop w:val="0"/>
      <w:marBottom w:val="0"/>
      <w:divBdr>
        <w:top w:val="none" w:sz="0" w:space="0" w:color="auto"/>
        <w:left w:val="none" w:sz="0" w:space="0" w:color="auto"/>
        <w:bottom w:val="none" w:sz="0" w:space="0" w:color="auto"/>
        <w:right w:val="none" w:sz="0" w:space="0" w:color="auto"/>
      </w:divBdr>
    </w:div>
    <w:div w:id="1109734586">
      <w:bodyDiv w:val="1"/>
      <w:marLeft w:val="0"/>
      <w:marRight w:val="0"/>
      <w:marTop w:val="0"/>
      <w:marBottom w:val="0"/>
      <w:divBdr>
        <w:top w:val="none" w:sz="0" w:space="0" w:color="auto"/>
        <w:left w:val="none" w:sz="0" w:space="0" w:color="auto"/>
        <w:bottom w:val="none" w:sz="0" w:space="0" w:color="auto"/>
        <w:right w:val="none" w:sz="0" w:space="0" w:color="auto"/>
      </w:divBdr>
    </w:div>
    <w:div w:id="1188181141">
      <w:bodyDiv w:val="1"/>
      <w:marLeft w:val="0"/>
      <w:marRight w:val="0"/>
      <w:marTop w:val="0"/>
      <w:marBottom w:val="0"/>
      <w:divBdr>
        <w:top w:val="none" w:sz="0" w:space="0" w:color="auto"/>
        <w:left w:val="none" w:sz="0" w:space="0" w:color="auto"/>
        <w:bottom w:val="none" w:sz="0" w:space="0" w:color="auto"/>
        <w:right w:val="none" w:sz="0" w:space="0" w:color="auto"/>
      </w:divBdr>
    </w:div>
    <w:div w:id="1334724898">
      <w:bodyDiv w:val="1"/>
      <w:marLeft w:val="0"/>
      <w:marRight w:val="0"/>
      <w:marTop w:val="0"/>
      <w:marBottom w:val="0"/>
      <w:divBdr>
        <w:top w:val="none" w:sz="0" w:space="0" w:color="auto"/>
        <w:left w:val="none" w:sz="0" w:space="0" w:color="auto"/>
        <w:bottom w:val="none" w:sz="0" w:space="0" w:color="auto"/>
        <w:right w:val="none" w:sz="0" w:space="0" w:color="auto"/>
      </w:divBdr>
    </w:div>
    <w:div w:id="1401363444">
      <w:bodyDiv w:val="1"/>
      <w:marLeft w:val="0"/>
      <w:marRight w:val="0"/>
      <w:marTop w:val="0"/>
      <w:marBottom w:val="0"/>
      <w:divBdr>
        <w:top w:val="none" w:sz="0" w:space="0" w:color="auto"/>
        <w:left w:val="none" w:sz="0" w:space="0" w:color="auto"/>
        <w:bottom w:val="none" w:sz="0" w:space="0" w:color="auto"/>
        <w:right w:val="none" w:sz="0" w:space="0" w:color="auto"/>
      </w:divBdr>
    </w:div>
    <w:div w:id="1415930411">
      <w:bodyDiv w:val="1"/>
      <w:marLeft w:val="0"/>
      <w:marRight w:val="0"/>
      <w:marTop w:val="0"/>
      <w:marBottom w:val="0"/>
      <w:divBdr>
        <w:top w:val="none" w:sz="0" w:space="0" w:color="auto"/>
        <w:left w:val="none" w:sz="0" w:space="0" w:color="auto"/>
        <w:bottom w:val="none" w:sz="0" w:space="0" w:color="auto"/>
        <w:right w:val="none" w:sz="0" w:space="0" w:color="auto"/>
      </w:divBdr>
    </w:div>
    <w:div w:id="1451315675">
      <w:bodyDiv w:val="1"/>
      <w:marLeft w:val="0"/>
      <w:marRight w:val="0"/>
      <w:marTop w:val="0"/>
      <w:marBottom w:val="0"/>
      <w:divBdr>
        <w:top w:val="none" w:sz="0" w:space="0" w:color="auto"/>
        <w:left w:val="none" w:sz="0" w:space="0" w:color="auto"/>
        <w:bottom w:val="none" w:sz="0" w:space="0" w:color="auto"/>
        <w:right w:val="none" w:sz="0" w:space="0" w:color="auto"/>
      </w:divBdr>
    </w:div>
    <w:div w:id="1599172494">
      <w:bodyDiv w:val="1"/>
      <w:marLeft w:val="0"/>
      <w:marRight w:val="0"/>
      <w:marTop w:val="0"/>
      <w:marBottom w:val="0"/>
      <w:divBdr>
        <w:top w:val="none" w:sz="0" w:space="0" w:color="auto"/>
        <w:left w:val="none" w:sz="0" w:space="0" w:color="auto"/>
        <w:bottom w:val="none" w:sz="0" w:space="0" w:color="auto"/>
        <w:right w:val="none" w:sz="0" w:space="0" w:color="auto"/>
      </w:divBdr>
    </w:div>
    <w:div w:id="1663579527">
      <w:bodyDiv w:val="1"/>
      <w:marLeft w:val="0"/>
      <w:marRight w:val="0"/>
      <w:marTop w:val="0"/>
      <w:marBottom w:val="0"/>
      <w:divBdr>
        <w:top w:val="none" w:sz="0" w:space="0" w:color="auto"/>
        <w:left w:val="none" w:sz="0" w:space="0" w:color="auto"/>
        <w:bottom w:val="none" w:sz="0" w:space="0" w:color="auto"/>
        <w:right w:val="none" w:sz="0" w:space="0" w:color="auto"/>
      </w:divBdr>
    </w:div>
    <w:div w:id="1667318405">
      <w:bodyDiv w:val="1"/>
      <w:marLeft w:val="0"/>
      <w:marRight w:val="0"/>
      <w:marTop w:val="0"/>
      <w:marBottom w:val="0"/>
      <w:divBdr>
        <w:top w:val="none" w:sz="0" w:space="0" w:color="auto"/>
        <w:left w:val="none" w:sz="0" w:space="0" w:color="auto"/>
        <w:bottom w:val="none" w:sz="0" w:space="0" w:color="auto"/>
        <w:right w:val="none" w:sz="0" w:space="0" w:color="auto"/>
      </w:divBdr>
    </w:div>
    <w:div w:id="1737587414">
      <w:bodyDiv w:val="1"/>
      <w:marLeft w:val="0"/>
      <w:marRight w:val="0"/>
      <w:marTop w:val="0"/>
      <w:marBottom w:val="0"/>
      <w:divBdr>
        <w:top w:val="none" w:sz="0" w:space="0" w:color="auto"/>
        <w:left w:val="none" w:sz="0" w:space="0" w:color="auto"/>
        <w:bottom w:val="none" w:sz="0" w:space="0" w:color="auto"/>
        <w:right w:val="none" w:sz="0" w:space="0" w:color="auto"/>
      </w:divBdr>
    </w:div>
    <w:div w:id="1743061247">
      <w:bodyDiv w:val="1"/>
      <w:marLeft w:val="0"/>
      <w:marRight w:val="0"/>
      <w:marTop w:val="0"/>
      <w:marBottom w:val="0"/>
      <w:divBdr>
        <w:top w:val="none" w:sz="0" w:space="0" w:color="auto"/>
        <w:left w:val="none" w:sz="0" w:space="0" w:color="auto"/>
        <w:bottom w:val="none" w:sz="0" w:space="0" w:color="auto"/>
        <w:right w:val="none" w:sz="0" w:space="0" w:color="auto"/>
      </w:divBdr>
    </w:div>
    <w:div w:id="1876693543">
      <w:bodyDiv w:val="1"/>
      <w:marLeft w:val="0"/>
      <w:marRight w:val="0"/>
      <w:marTop w:val="0"/>
      <w:marBottom w:val="0"/>
      <w:divBdr>
        <w:top w:val="none" w:sz="0" w:space="0" w:color="auto"/>
        <w:left w:val="none" w:sz="0" w:space="0" w:color="auto"/>
        <w:bottom w:val="none" w:sz="0" w:space="0" w:color="auto"/>
        <w:right w:val="none" w:sz="0" w:space="0" w:color="auto"/>
      </w:divBdr>
    </w:div>
    <w:div w:id="1881166086">
      <w:bodyDiv w:val="1"/>
      <w:marLeft w:val="0"/>
      <w:marRight w:val="0"/>
      <w:marTop w:val="0"/>
      <w:marBottom w:val="0"/>
      <w:divBdr>
        <w:top w:val="none" w:sz="0" w:space="0" w:color="auto"/>
        <w:left w:val="none" w:sz="0" w:space="0" w:color="auto"/>
        <w:bottom w:val="none" w:sz="0" w:space="0" w:color="auto"/>
        <w:right w:val="none" w:sz="0" w:space="0" w:color="auto"/>
      </w:divBdr>
    </w:div>
    <w:div w:id="1900092131">
      <w:bodyDiv w:val="1"/>
      <w:marLeft w:val="0"/>
      <w:marRight w:val="0"/>
      <w:marTop w:val="0"/>
      <w:marBottom w:val="0"/>
      <w:divBdr>
        <w:top w:val="none" w:sz="0" w:space="0" w:color="auto"/>
        <w:left w:val="none" w:sz="0" w:space="0" w:color="auto"/>
        <w:bottom w:val="none" w:sz="0" w:space="0" w:color="auto"/>
        <w:right w:val="none" w:sz="0" w:space="0" w:color="auto"/>
      </w:divBdr>
    </w:div>
    <w:div w:id="1921941437">
      <w:bodyDiv w:val="1"/>
      <w:marLeft w:val="0"/>
      <w:marRight w:val="0"/>
      <w:marTop w:val="0"/>
      <w:marBottom w:val="0"/>
      <w:divBdr>
        <w:top w:val="none" w:sz="0" w:space="0" w:color="auto"/>
        <w:left w:val="none" w:sz="0" w:space="0" w:color="auto"/>
        <w:bottom w:val="none" w:sz="0" w:space="0" w:color="auto"/>
        <w:right w:val="none" w:sz="0" w:space="0" w:color="auto"/>
      </w:divBdr>
    </w:div>
    <w:div w:id="2008510960">
      <w:bodyDiv w:val="1"/>
      <w:marLeft w:val="0"/>
      <w:marRight w:val="0"/>
      <w:marTop w:val="0"/>
      <w:marBottom w:val="0"/>
      <w:divBdr>
        <w:top w:val="none" w:sz="0" w:space="0" w:color="auto"/>
        <w:left w:val="none" w:sz="0" w:space="0" w:color="auto"/>
        <w:bottom w:val="none" w:sz="0" w:space="0" w:color="auto"/>
        <w:right w:val="none" w:sz="0" w:space="0" w:color="auto"/>
      </w:divBdr>
    </w:div>
    <w:div w:id="213019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C883-9CDF-4FAC-963B-26CBA865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17</Pages>
  <Words>4308</Words>
  <Characters>23264</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Maia Daudt</dc:creator>
  <cp:keywords/>
  <dc:description/>
  <cp:lastModifiedBy>Bruno Frasson</cp:lastModifiedBy>
  <cp:revision>399</cp:revision>
  <cp:lastPrinted>2025-06-23T11:21:00Z</cp:lastPrinted>
  <dcterms:created xsi:type="dcterms:W3CDTF">2025-03-17T12:41:00Z</dcterms:created>
  <dcterms:modified xsi:type="dcterms:W3CDTF">2025-06-27T13:53:00Z</dcterms:modified>
</cp:coreProperties>
</file>