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92CC17E" w14:textId="73579AF0" w:rsidR="004928F1" w:rsidRPr="002B58A3" w:rsidRDefault="004928F1" w:rsidP="004928F1">
      <w:pPr>
        <w:pStyle w:val="Ttulodoprojeto"/>
      </w:pPr>
      <w:r w:rsidRPr="004928F1">
        <w:t xml:space="preserve">Alvenaria Estrutural Com Junta Fina de Composto Polimérico </w:t>
      </w:r>
      <w:r w:rsidRPr="00402D51">
        <w:t>– Parte 1: Projeto</w:t>
      </w:r>
    </w:p>
    <w:p w14:paraId="4507E4E7" w14:textId="09742D6D" w:rsidR="004928F1" w:rsidRPr="000A1294" w:rsidRDefault="000A1294" w:rsidP="004928F1">
      <w:pPr>
        <w:pStyle w:val="TtulodoprojetoemIngls"/>
        <w:rPr>
          <w:rFonts w:cs="Arial"/>
          <w:lang w:val="en-US"/>
        </w:rPr>
      </w:pPr>
      <w:r w:rsidRPr="000A1294">
        <w:rPr>
          <w:rFonts w:cs="Arial"/>
          <w:lang w:val="en-US"/>
        </w:rPr>
        <w:t xml:space="preserve">Structural Masonry </w:t>
      </w:r>
      <w:proofErr w:type="gramStart"/>
      <w:r w:rsidRPr="000A1294">
        <w:rPr>
          <w:rFonts w:cs="Arial"/>
          <w:lang w:val="en-US"/>
        </w:rPr>
        <w:t>With</w:t>
      </w:r>
      <w:proofErr w:type="gramEnd"/>
      <w:r w:rsidRPr="000A1294">
        <w:rPr>
          <w:rFonts w:cs="Arial"/>
          <w:lang w:val="en-US"/>
        </w:rPr>
        <w:t xml:space="preserve"> Thin Joints of Polymeric Compound </w:t>
      </w:r>
      <w:r w:rsidR="004928F1" w:rsidRPr="000A1294">
        <w:rPr>
          <w:rFonts w:cs="Arial"/>
          <w:lang w:val="en-US"/>
        </w:rPr>
        <w:t xml:space="preserve">– Part 1: Design </w:t>
      </w:r>
    </w:p>
    <w:p w14:paraId="5AE53B92" w14:textId="77777777" w:rsidR="004928F1" w:rsidRPr="000A1294" w:rsidRDefault="004928F1" w:rsidP="004928F1">
      <w:pPr>
        <w:pStyle w:val="Ttulodoprojeto"/>
        <w:rPr>
          <w:rFonts w:cs="Arial"/>
          <w:lang w:val="en-US"/>
        </w:rPr>
      </w:pPr>
    </w:p>
    <w:p w14:paraId="272B3F16" w14:textId="77777777" w:rsidR="004928F1" w:rsidRPr="002B58A3" w:rsidRDefault="004928F1" w:rsidP="004928F1">
      <w:pPr>
        <w:pStyle w:val="APRESENTAO"/>
      </w:pPr>
      <w:r w:rsidRPr="002B58A3">
        <w:t>APRESENTAÇÃO</w:t>
      </w:r>
    </w:p>
    <w:p w14:paraId="411FE9D0" w14:textId="25A3EF74" w:rsidR="004928F1" w:rsidRPr="002B58A3" w:rsidRDefault="004928F1" w:rsidP="004928F1">
      <w:pPr>
        <w:pStyle w:val="Tpicosdaapresentao"/>
        <w:spacing w:after="0"/>
      </w:pPr>
      <w:r w:rsidRPr="002B58A3">
        <w:t xml:space="preserve">Este </w:t>
      </w:r>
      <w:r w:rsidR="000A1294">
        <w:t>Texto-Base</w:t>
      </w:r>
      <w:r w:rsidRPr="002B58A3">
        <w:t xml:space="preserve"> foi elaborado pela </w:t>
      </w:r>
      <w:r w:rsidRPr="00BB0932">
        <w:rPr>
          <w:rFonts w:cs="Arial"/>
        </w:rPr>
        <w:t xml:space="preserve">Comissão de Estudo de Alvenaria Estrutural (CE-002:123.010) do Comitê Brasileiro da Construção Civil (ABNT/CB-002), com número de </w:t>
      </w:r>
      <w:r>
        <w:rPr>
          <w:rFonts w:cs="Arial"/>
        </w:rPr>
        <w:t>Texto-Base</w:t>
      </w:r>
      <w:r w:rsidRPr="00BB0932">
        <w:rPr>
          <w:rFonts w:cs="Arial"/>
        </w:rPr>
        <w:t xml:space="preserve"> </w:t>
      </w:r>
      <w:r w:rsidR="000A1294" w:rsidRPr="000A1294">
        <w:rPr>
          <w:bCs/>
          <w:caps/>
          <w:lang w:eastAsia="en-CA"/>
        </w:rPr>
        <w:t>002:123.010-002</w:t>
      </w:r>
      <w:r w:rsidRPr="000A1294">
        <w:rPr>
          <w:rFonts w:cs="Arial"/>
          <w:bCs/>
        </w:rPr>
        <w:t>/</w:t>
      </w:r>
      <w:r>
        <w:rPr>
          <w:rFonts w:cs="Arial"/>
        </w:rPr>
        <w:t>1</w:t>
      </w:r>
      <w:r w:rsidRPr="00BB0932">
        <w:rPr>
          <w:rFonts w:cs="Arial"/>
        </w:rPr>
        <w:t>, nas reuniões de</w:t>
      </w:r>
      <w:r w:rsidRPr="002B58A3">
        <w:t>:</w:t>
      </w:r>
    </w:p>
    <w:p w14:paraId="00599A99" w14:textId="77777777" w:rsidR="004928F1" w:rsidRPr="002B58A3" w:rsidRDefault="004928F1" w:rsidP="004928F1">
      <w:pPr>
        <w:pStyle w:val="Tpicosdaapresentao"/>
        <w:numPr>
          <w:ilvl w:val="0"/>
          <w:numId w:val="0"/>
        </w:numPr>
        <w:spacing w:after="0"/>
      </w:pP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75"/>
        <w:gridCol w:w="2606"/>
        <w:gridCol w:w="2607"/>
      </w:tblGrid>
      <w:tr w:rsidR="002728CE" w:rsidRPr="002728CE" w14:paraId="50A9C403" w14:textId="77777777" w:rsidTr="002728CE">
        <w:trPr>
          <w:trHeight w:val="476"/>
        </w:trPr>
        <w:tc>
          <w:tcPr>
            <w:tcW w:w="3175" w:type="dxa"/>
            <w:shd w:val="clear" w:color="auto" w:fill="auto"/>
            <w:vAlign w:val="center"/>
          </w:tcPr>
          <w:p w14:paraId="0383E24A" w14:textId="0DCF4F6F" w:rsidR="002728CE" w:rsidRPr="002728CE" w:rsidRDefault="00684422" w:rsidP="002728CE">
            <w:pPr>
              <w:pStyle w:val="Datadareunio"/>
              <w:rPr>
                <w:rFonts w:cs="Arial"/>
              </w:rPr>
            </w:pPr>
            <w:r w:rsidRPr="00684422">
              <w:rPr>
                <w:rFonts w:cs="Arial"/>
              </w:rPr>
              <w:t>23.02.2022</w:t>
            </w:r>
          </w:p>
        </w:tc>
        <w:tc>
          <w:tcPr>
            <w:tcW w:w="2606" w:type="dxa"/>
            <w:shd w:val="clear" w:color="auto" w:fill="auto"/>
            <w:vAlign w:val="center"/>
          </w:tcPr>
          <w:p w14:paraId="758CE687" w14:textId="30AC6584" w:rsidR="002728CE" w:rsidRPr="002728CE" w:rsidRDefault="002728CE" w:rsidP="002728CE">
            <w:pPr>
              <w:pStyle w:val="Datadareunio"/>
              <w:rPr>
                <w:rFonts w:cs="Arial"/>
              </w:rPr>
            </w:pPr>
            <w:r w:rsidRPr="002728CE">
              <w:rPr>
                <w:rFonts w:cs="Arial"/>
              </w:rPr>
              <w:t>05.04.2022</w:t>
            </w:r>
          </w:p>
        </w:tc>
        <w:tc>
          <w:tcPr>
            <w:tcW w:w="2607" w:type="dxa"/>
            <w:shd w:val="clear" w:color="auto" w:fill="auto"/>
            <w:vAlign w:val="center"/>
          </w:tcPr>
          <w:p w14:paraId="3974CB58" w14:textId="60BF3738" w:rsidR="002728CE" w:rsidRPr="002728CE" w:rsidRDefault="002728CE" w:rsidP="002728CE">
            <w:pPr>
              <w:pStyle w:val="Datadareunio"/>
              <w:rPr>
                <w:rFonts w:cs="Arial"/>
              </w:rPr>
            </w:pPr>
            <w:r w:rsidRPr="002728CE">
              <w:rPr>
                <w:rFonts w:cs="Arial"/>
              </w:rPr>
              <w:t>05.09.2022</w:t>
            </w:r>
          </w:p>
        </w:tc>
      </w:tr>
      <w:tr w:rsidR="002728CE" w:rsidRPr="002728CE" w14:paraId="500CF3DB" w14:textId="77777777" w:rsidTr="002728CE">
        <w:trPr>
          <w:trHeight w:val="476"/>
        </w:trPr>
        <w:tc>
          <w:tcPr>
            <w:tcW w:w="3175" w:type="dxa"/>
            <w:shd w:val="clear" w:color="auto" w:fill="auto"/>
            <w:vAlign w:val="center"/>
          </w:tcPr>
          <w:p w14:paraId="50024F26" w14:textId="73712492" w:rsidR="002728CE" w:rsidRPr="002728CE" w:rsidRDefault="002728CE" w:rsidP="002728CE">
            <w:pPr>
              <w:pStyle w:val="Datadareunio"/>
              <w:rPr>
                <w:rFonts w:cs="Arial"/>
              </w:rPr>
            </w:pPr>
            <w:r w:rsidRPr="002728CE">
              <w:rPr>
                <w:rFonts w:cs="Arial"/>
              </w:rPr>
              <w:t>15.05.2023</w:t>
            </w:r>
          </w:p>
        </w:tc>
        <w:tc>
          <w:tcPr>
            <w:tcW w:w="2606" w:type="dxa"/>
            <w:shd w:val="clear" w:color="auto" w:fill="auto"/>
            <w:vAlign w:val="center"/>
          </w:tcPr>
          <w:p w14:paraId="03A334C2" w14:textId="3C469C76" w:rsidR="002728CE" w:rsidRPr="002728CE" w:rsidRDefault="002728CE" w:rsidP="002728CE">
            <w:pPr>
              <w:pStyle w:val="Datadareunio"/>
              <w:rPr>
                <w:rFonts w:cs="Arial"/>
              </w:rPr>
            </w:pPr>
            <w:r w:rsidRPr="002728CE">
              <w:rPr>
                <w:rFonts w:cs="Arial"/>
              </w:rPr>
              <w:t>18.09.2023</w:t>
            </w:r>
          </w:p>
        </w:tc>
        <w:tc>
          <w:tcPr>
            <w:tcW w:w="2607" w:type="dxa"/>
            <w:shd w:val="clear" w:color="auto" w:fill="auto"/>
            <w:vAlign w:val="center"/>
          </w:tcPr>
          <w:p w14:paraId="272BA2B0" w14:textId="38635637" w:rsidR="002728CE" w:rsidRPr="002728CE" w:rsidRDefault="002728CE" w:rsidP="002728CE">
            <w:pPr>
              <w:pStyle w:val="Datadareunio"/>
              <w:rPr>
                <w:rFonts w:cs="Arial"/>
              </w:rPr>
            </w:pPr>
            <w:r w:rsidRPr="002728CE">
              <w:rPr>
                <w:rFonts w:cs="Arial"/>
              </w:rPr>
              <w:t>05.02.2024</w:t>
            </w:r>
          </w:p>
        </w:tc>
      </w:tr>
      <w:tr w:rsidR="002728CE" w:rsidRPr="002728CE" w14:paraId="1B7BD2A1" w14:textId="77777777" w:rsidTr="002728CE">
        <w:trPr>
          <w:trHeight w:val="476"/>
        </w:trPr>
        <w:tc>
          <w:tcPr>
            <w:tcW w:w="3175" w:type="dxa"/>
            <w:shd w:val="clear" w:color="auto" w:fill="auto"/>
            <w:vAlign w:val="center"/>
          </w:tcPr>
          <w:p w14:paraId="19E2610A" w14:textId="6359CD8F" w:rsidR="002728CE" w:rsidRPr="002728CE" w:rsidRDefault="002728CE" w:rsidP="002728CE">
            <w:pPr>
              <w:pStyle w:val="Datadareunio"/>
              <w:rPr>
                <w:rFonts w:cs="Arial"/>
              </w:rPr>
            </w:pPr>
            <w:r w:rsidRPr="002728CE">
              <w:rPr>
                <w:rFonts w:cs="Arial"/>
              </w:rPr>
              <w:t>09.12.2024</w:t>
            </w:r>
          </w:p>
        </w:tc>
        <w:tc>
          <w:tcPr>
            <w:tcW w:w="2606" w:type="dxa"/>
            <w:shd w:val="clear" w:color="auto" w:fill="auto"/>
            <w:vAlign w:val="center"/>
          </w:tcPr>
          <w:p w14:paraId="1CB17462" w14:textId="640006CE" w:rsidR="002728CE" w:rsidRPr="002728CE" w:rsidRDefault="002728CE" w:rsidP="002728CE">
            <w:pPr>
              <w:pStyle w:val="Datadareunio"/>
              <w:rPr>
                <w:rFonts w:cs="Arial"/>
              </w:rPr>
            </w:pPr>
            <w:r w:rsidRPr="002728CE">
              <w:rPr>
                <w:rFonts w:cs="Arial"/>
              </w:rPr>
              <w:t>20.01.2025</w:t>
            </w:r>
          </w:p>
        </w:tc>
        <w:tc>
          <w:tcPr>
            <w:tcW w:w="2607" w:type="dxa"/>
            <w:shd w:val="clear" w:color="auto" w:fill="auto"/>
            <w:vAlign w:val="center"/>
          </w:tcPr>
          <w:p w14:paraId="5ECA8C78" w14:textId="0237293E" w:rsidR="002728CE" w:rsidRPr="002728CE" w:rsidRDefault="002728CE" w:rsidP="002728CE">
            <w:pPr>
              <w:pStyle w:val="Datadareunio"/>
              <w:rPr>
                <w:rFonts w:cs="Arial"/>
              </w:rPr>
            </w:pPr>
            <w:r w:rsidRPr="002728CE">
              <w:rPr>
                <w:rFonts w:cs="Arial"/>
              </w:rPr>
              <w:t>17.02.2025</w:t>
            </w:r>
          </w:p>
        </w:tc>
      </w:tr>
      <w:tr w:rsidR="002728CE" w:rsidRPr="002728CE" w14:paraId="39E52893" w14:textId="77777777" w:rsidTr="002728CE">
        <w:trPr>
          <w:trHeight w:val="476"/>
        </w:trPr>
        <w:tc>
          <w:tcPr>
            <w:tcW w:w="3175" w:type="dxa"/>
            <w:shd w:val="clear" w:color="auto" w:fill="auto"/>
            <w:vAlign w:val="center"/>
          </w:tcPr>
          <w:p w14:paraId="7D422EF7" w14:textId="238D2563" w:rsidR="002728CE" w:rsidRPr="002728CE" w:rsidRDefault="002728CE" w:rsidP="002728CE">
            <w:pPr>
              <w:pStyle w:val="Datadareunio"/>
              <w:rPr>
                <w:rFonts w:cs="Arial"/>
              </w:rPr>
            </w:pPr>
            <w:r w:rsidRPr="002728CE">
              <w:rPr>
                <w:rFonts w:cs="Arial"/>
              </w:rPr>
              <w:t>24.02.2025</w:t>
            </w:r>
          </w:p>
        </w:tc>
        <w:tc>
          <w:tcPr>
            <w:tcW w:w="2606" w:type="dxa"/>
            <w:shd w:val="clear" w:color="auto" w:fill="auto"/>
            <w:vAlign w:val="center"/>
          </w:tcPr>
          <w:p w14:paraId="6F10B5A9" w14:textId="13FB1CD0" w:rsidR="002728CE" w:rsidRPr="002728CE" w:rsidRDefault="002728CE" w:rsidP="002728CE">
            <w:pPr>
              <w:pStyle w:val="Datadareunio"/>
              <w:rPr>
                <w:rFonts w:cs="Arial"/>
              </w:rPr>
            </w:pPr>
            <w:r w:rsidRPr="002728CE">
              <w:rPr>
                <w:rFonts w:cs="Arial"/>
              </w:rPr>
              <w:t>17.03.2025</w:t>
            </w:r>
          </w:p>
        </w:tc>
        <w:tc>
          <w:tcPr>
            <w:tcW w:w="2607" w:type="dxa"/>
            <w:shd w:val="clear" w:color="auto" w:fill="auto"/>
            <w:vAlign w:val="center"/>
          </w:tcPr>
          <w:p w14:paraId="6F15FF04" w14:textId="74AC6F4F" w:rsidR="002728CE" w:rsidRPr="002728CE" w:rsidRDefault="002728CE" w:rsidP="002728CE">
            <w:pPr>
              <w:pStyle w:val="Datadareunio"/>
              <w:rPr>
                <w:rFonts w:cs="Arial"/>
              </w:rPr>
            </w:pPr>
            <w:r w:rsidRPr="002728CE">
              <w:rPr>
                <w:rFonts w:cs="Arial"/>
              </w:rPr>
              <w:t>21.05.2025</w:t>
            </w:r>
          </w:p>
        </w:tc>
      </w:tr>
      <w:tr w:rsidR="00243585" w:rsidRPr="002728CE" w14:paraId="4E9248D9" w14:textId="77777777" w:rsidTr="002728CE">
        <w:trPr>
          <w:trHeight w:val="476"/>
        </w:trPr>
        <w:tc>
          <w:tcPr>
            <w:tcW w:w="3175" w:type="dxa"/>
            <w:shd w:val="clear" w:color="auto" w:fill="auto"/>
            <w:vAlign w:val="center"/>
          </w:tcPr>
          <w:p w14:paraId="7A2F5386" w14:textId="2E17A7B7" w:rsidR="00243585" w:rsidRPr="002728CE" w:rsidRDefault="00243585" w:rsidP="002728CE">
            <w:pPr>
              <w:pStyle w:val="Datadareunio"/>
              <w:rPr>
                <w:rFonts w:cs="Arial"/>
              </w:rPr>
            </w:pPr>
            <w:r>
              <w:rPr>
                <w:rFonts w:cs="Arial"/>
              </w:rPr>
              <w:t>18.06.2025</w:t>
            </w:r>
          </w:p>
        </w:tc>
        <w:tc>
          <w:tcPr>
            <w:tcW w:w="2606" w:type="dxa"/>
            <w:shd w:val="clear" w:color="auto" w:fill="auto"/>
            <w:vAlign w:val="center"/>
          </w:tcPr>
          <w:p w14:paraId="04A4403B" w14:textId="14372893" w:rsidR="00243585" w:rsidRPr="002728CE" w:rsidRDefault="006E22E0" w:rsidP="002728CE">
            <w:pPr>
              <w:pStyle w:val="Datadareunio"/>
              <w:rPr>
                <w:rFonts w:cs="Arial"/>
              </w:rPr>
            </w:pPr>
            <w:r>
              <w:rPr>
                <w:rFonts w:cs="Arial"/>
              </w:rPr>
              <w:t>-</w:t>
            </w:r>
          </w:p>
        </w:tc>
        <w:tc>
          <w:tcPr>
            <w:tcW w:w="2607" w:type="dxa"/>
            <w:shd w:val="clear" w:color="auto" w:fill="auto"/>
            <w:vAlign w:val="center"/>
          </w:tcPr>
          <w:p w14:paraId="2C40D759" w14:textId="231C5370" w:rsidR="00243585" w:rsidRPr="002728CE" w:rsidRDefault="006E22E0" w:rsidP="002728CE">
            <w:pPr>
              <w:pStyle w:val="Datadareunio"/>
              <w:rPr>
                <w:rFonts w:cs="Arial"/>
              </w:rPr>
            </w:pPr>
            <w:r>
              <w:rPr>
                <w:rFonts w:cs="Arial"/>
              </w:rPr>
              <w:t>-</w:t>
            </w:r>
          </w:p>
        </w:tc>
      </w:tr>
    </w:tbl>
    <w:p w14:paraId="5BCD452A" w14:textId="0C21506A" w:rsidR="004928F1" w:rsidRPr="002B58A3" w:rsidRDefault="004928F1" w:rsidP="006B7806">
      <w:pPr>
        <w:pStyle w:val="Tpicosdaapresentao"/>
      </w:pPr>
      <w:r w:rsidRPr="002B58A3">
        <w:t>Este Projeto não tem valor normativo.</w:t>
      </w:r>
    </w:p>
    <w:p w14:paraId="6CE348FA" w14:textId="77777777" w:rsidR="004928F1" w:rsidRPr="002B58A3" w:rsidRDefault="004928F1" w:rsidP="004928F1">
      <w:pPr>
        <w:pStyle w:val="Tpicosdaapresentao"/>
      </w:pPr>
      <w:r w:rsidRPr="002B58A3">
        <w:t xml:space="preserve">Aqueles que tiverem conhecimento de qualquer direito de patente </w:t>
      </w:r>
      <w:r w:rsidRPr="002B58A3">
        <w:rPr>
          <w:noProof w:val="0"/>
        </w:rPr>
        <w:t xml:space="preserve">relacionado ao assunto tratado neste Projeto </w:t>
      </w:r>
      <w:r w:rsidRPr="002B58A3">
        <w:t>devem apresentar esta informação em seus comentários, com documentação comprobatória.</w:t>
      </w:r>
    </w:p>
    <w:p w14:paraId="66738E29" w14:textId="77777777" w:rsidR="004928F1" w:rsidRPr="002B58A3" w:rsidRDefault="004928F1" w:rsidP="004928F1">
      <w:pPr>
        <w:pStyle w:val="Tpicosdaapresentao"/>
      </w:pPr>
      <w:r w:rsidRPr="002B58A3">
        <w:t>Analista ABNT: Michelly Luara Aparecida Oliveira.</w:t>
      </w:r>
    </w:p>
    <w:p w14:paraId="7A21B819" w14:textId="77777777" w:rsidR="004928F1" w:rsidRPr="002B58A3" w:rsidRDefault="004928F1" w:rsidP="004928F1">
      <w:pPr>
        <w:pStyle w:val="Prefcio"/>
      </w:pPr>
      <w:r w:rsidRPr="002B58A3">
        <w:br w:type="page"/>
      </w:r>
      <w:bookmarkStart w:id="0" w:name="_Toc129425882"/>
      <w:bookmarkStart w:id="1" w:name="_Toc232225108"/>
      <w:bookmarkStart w:id="2" w:name="_Toc232567944"/>
      <w:bookmarkStart w:id="3" w:name="_Toc232567988"/>
      <w:bookmarkStart w:id="4" w:name="_Toc232662584"/>
      <w:bookmarkStart w:id="5" w:name="_Toc234979316"/>
      <w:bookmarkStart w:id="6" w:name="_Toc232592771"/>
      <w:bookmarkStart w:id="7" w:name="_Toc232592982"/>
      <w:r w:rsidRPr="002B58A3">
        <w:lastRenderedPageBreak/>
        <w:t>Prefácio</w:t>
      </w:r>
      <w:bookmarkEnd w:id="0"/>
      <w:bookmarkEnd w:id="1"/>
      <w:bookmarkEnd w:id="2"/>
      <w:bookmarkEnd w:id="3"/>
      <w:bookmarkEnd w:id="4"/>
      <w:bookmarkEnd w:id="5"/>
      <w:bookmarkEnd w:id="6"/>
      <w:bookmarkEnd w:id="7"/>
    </w:p>
    <w:p w14:paraId="7AA084EC" w14:textId="384F2268" w:rsidR="004928F1" w:rsidRPr="002B58A3" w:rsidRDefault="004928F1" w:rsidP="004928F1">
      <w:pPr>
        <w:pStyle w:val="Pargrafo11pt"/>
      </w:pPr>
      <w:bookmarkStart w:id="8" w:name="Section2_Body_Prefacio"/>
      <w:bookmarkEnd w:id="8"/>
      <w:r w:rsidRPr="002B58A3">
        <w:t>A</w:t>
      </w:r>
      <w:r w:rsidRPr="002B58A3">
        <w:rPr>
          <w:spacing w:val="-27"/>
        </w:rPr>
        <w:t xml:space="preserve"> </w:t>
      </w:r>
      <w:r w:rsidRPr="002B58A3">
        <w:t>Associação</w:t>
      </w:r>
      <w:r w:rsidRPr="002B58A3">
        <w:rPr>
          <w:spacing w:val="-2"/>
        </w:rPr>
        <w:t xml:space="preserve"> </w:t>
      </w:r>
      <w:r w:rsidRPr="002B58A3">
        <w:t>Brasileira</w:t>
      </w:r>
      <w:r w:rsidRPr="002B58A3">
        <w:rPr>
          <w:spacing w:val="-2"/>
        </w:rPr>
        <w:t xml:space="preserve"> </w:t>
      </w:r>
      <w:r w:rsidRPr="002B58A3">
        <w:t>de</w:t>
      </w:r>
      <w:r w:rsidRPr="002B58A3">
        <w:rPr>
          <w:spacing w:val="-3"/>
        </w:rPr>
        <w:t xml:space="preserve"> </w:t>
      </w:r>
      <w:r w:rsidRPr="002B58A3">
        <w:t>Normas</w:t>
      </w:r>
      <w:r w:rsidRPr="002B58A3">
        <w:rPr>
          <w:spacing w:val="-6"/>
        </w:rPr>
        <w:t xml:space="preserve"> </w:t>
      </w:r>
      <w:r w:rsidRPr="002B58A3">
        <w:t>Técnicas</w:t>
      </w:r>
      <w:r w:rsidRPr="002B58A3">
        <w:rPr>
          <w:spacing w:val="-2"/>
        </w:rPr>
        <w:t xml:space="preserve"> </w:t>
      </w:r>
      <w:r w:rsidRPr="002B58A3">
        <w:t>(ABNT)</w:t>
      </w:r>
      <w:r w:rsidRPr="002B58A3">
        <w:rPr>
          <w:spacing w:val="-2"/>
        </w:rPr>
        <w:t xml:space="preserve"> </w:t>
      </w:r>
      <w:r w:rsidRPr="002B58A3">
        <w:t>é</w:t>
      </w:r>
      <w:r w:rsidRPr="002B58A3">
        <w:rPr>
          <w:spacing w:val="-4"/>
        </w:rPr>
        <w:t xml:space="preserve"> </w:t>
      </w:r>
      <w:r w:rsidRPr="002B58A3">
        <w:t>o</w:t>
      </w:r>
      <w:r w:rsidRPr="002B58A3">
        <w:rPr>
          <w:spacing w:val="-3"/>
        </w:rPr>
        <w:t xml:space="preserve"> </w:t>
      </w:r>
      <w:r w:rsidRPr="002B58A3">
        <w:t>Foro</w:t>
      </w:r>
      <w:r w:rsidRPr="002B58A3">
        <w:rPr>
          <w:spacing w:val="-2"/>
        </w:rPr>
        <w:t xml:space="preserve"> </w:t>
      </w:r>
      <w:r w:rsidRPr="002B58A3">
        <w:t>Nacional</w:t>
      </w:r>
      <w:r w:rsidRPr="002B58A3">
        <w:rPr>
          <w:spacing w:val="-2"/>
        </w:rPr>
        <w:t xml:space="preserve"> </w:t>
      </w:r>
      <w:r w:rsidRPr="002B58A3">
        <w:t>de</w:t>
      </w:r>
      <w:r w:rsidRPr="002B58A3">
        <w:rPr>
          <w:spacing w:val="-3"/>
        </w:rPr>
        <w:t xml:space="preserve"> </w:t>
      </w:r>
      <w:r w:rsidRPr="002B58A3">
        <w:t>Normalização.</w:t>
      </w:r>
      <w:r w:rsidRPr="002B58A3">
        <w:rPr>
          <w:spacing w:val="-14"/>
        </w:rPr>
        <w:t xml:space="preserve"> </w:t>
      </w:r>
      <w:r w:rsidRPr="002B58A3">
        <w:t>As</w:t>
      </w:r>
      <w:r w:rsidRPr="002B58A3">
        <w:rPr>
          <w:spacing w:val="-2"/>
        </w:rPr>
        <w:t xml:space="preserve"> </w:t>
      </w:r>
      <w:r w:rsidRPr="002B58A3">
        <w:t>Normas Brasileiras,</w:t>
      </w:r>
      <w:r w:rsidRPr="002B58A3">
        <w:rPr>
          <w:spacing w:val="-13"/>
        </w:rPr>
        <w:t xml:space="preserve"> </w:t>
      </w:r>
      <w:r w:rsidRPr="002B58A3">
        <w:t>cujo</w:t>
      </w:r>
      <w:r w:rsidRPr="002B58A3">
        <w:rPr>
          <w:spacing w:val="-13"/>
        </w:rPr>
        <w:t xml:space="preserve"> </w:t>
      </w:r>
      <w:r w:rsidRPr="002B58A3">
        <w:t>conteúdo</w:t>
      </w:r>
      <w:r w:rsidRPr="002B58A3">
        <w:rPr>
          <w:spacing w:val="-13"/>
        </w:rPr>
        <w:t xml:space="preserve"> </w:t>
      </w:r>
      <w:r w:rsidRPr="002B58A3">
        <w:t>é</w:t>
      </w:r>
      <w:r w:rsidRPr="002B58A3">
        <w:rPr>
          <w:spacing w:val="-13"/>
        </w:rPr>
        <w:t xml:space="preserve"> </w:t>
      </w:r>
      <w:r w:rsidRPr="002B58A3">
        <w:t>de</w:t>
      </w:r>
      <w:r w:rsidRPr="002B58A3">
        <w:rPr>
          <w:spacing w:val="-13"/>
        </w:rPr>
        <w:t xml:space="preserve"> </w:t>
      </w:r>
      <w:r w:rsidRPr="002B58A3">
        <w:t>responsabilidade</w:t>
      </w:r>
      <w:r w:rsidRPr="002B58A3">
        <w:rPr>
          <w:spacing w:val="-12"/>
        </w:rPr>
        <w:t xml:space="preserve"> </w:t>
      </w:r>
      <w:r w:rsidRPr="002B58A3">
        <w:t>dos</w:t>
      </w:r>
      <w:r w:rsidRPr="002B58A3">
        <w:rPr>
          <w:spacing w:val="-13"/>
        </w:rPr>
        <w:t xml:space="preserve"> </w:t>
      </w:r>
      <w:r w:rsidRPr="002B58A3">
        <w:t>Comitês</w:t>
      </w:r>
      <w:r w:rsidRPr="002B58A3">
        <w:rPr>
          <w:spacing w:val="-13"/>
        </w:rPr>
        <w:t xml:space="preserve"> </w:t>
      </w:r>
      <w:r w:rsidRPr="002B58A3">
        <w:t>Brasileiros</w:t>
      </w:r>
      <w:r w:rsidRPr="002B58A3">
        <w:rPr>
          <w:spacing w:val="-13"/>
        </w:rPr>
        <w:t xml:space="preserve"> </w:t>
      </w:r>
      <w:r w:rsidRPr="002B58A3">
        <w:t>(ABNT/CB),</w:t>
      </w:r>
      <w:r w:rsidRPr="002B58A3">
        <w:rPr>
          <w:spacing w:val="-13"/>
        </w:rPr>
        <w:t xml:space="preserve"> </w:t>
      </w:r>
      <w:r w:rsidRPr="002B58A3">
        <w:t>dos</w:t>
      </w:r>
      <w:r w:rsidRPr="002B58A3">
        <w:rPr>
          <w:spacing w:val="-13"/>
        </w:rPr>
        <w:t xml:space="preserve"> </w:t>
      </w:r>
      <w:r w:rsidRPr="002B58A3">
        <w:t>Organismos de Normalização Setorial (ABNT/ONS) e das Comissões de Estudo Especiais (ABNT/CEE), são elaboradas por Comissões de Estudo (CE), formadas pelas partes interessadas no tema objeto da</w:t>
      </w:r>
      <w:r w:rsidRPr="002B58A3">
        <w:rPr>
          <w:spacing w:val="-2"/>
        </w:rPr>
        <w:t xml:space="preserve"> </w:t>
      </w:r>
      <w:r w:rsidRPr="002B58A3">
        <w:t>normalização.</w:t>
      </w:r>
    </w:p>
    <w:p w14:paraId="7B185D06" w14:textId="05A7A097" w:rsidR="004928F1" w:rsidRPr="002B58A3" w:rsidRDefault="004928F1" w:rsidP="004928F1">
      <w:pPr>
        <w:pStyle w:val="Pargrafo11pt"/>
        <w:rPr>
          <w:szCs w:val="22"/>
        </w:rPr>
      </w:pPr>
      <w:r w:rsidRPr="002B58A3">
        <w:t>Os Documentos Técnicos ABNT são elaborados conforme as regras da</w:t>
      </w:r>
      <w:r w:rsidR="004752A4">
        <w:br/>
      </w:r>
      <w:r w:rsidRPr="002B58A3">
        <w:t>ABNT Diretiva 2.</w:t>
      </w:r>
    </w:p>
    <w:p w14:paraId="70B5A2CB" w14:textId="4B9B7464" w:rsidR="004928F1" w:rsidRPr="002B58A3" w:rsidRDefault="004928F1" w:rsidP="004928F1">
      <w:pPr>
        <w:pStyle w:val="Pargrafo11pt"/>
        <w:rPr>
          <w:szCs w:val="22"/>
        </w:rPr>
      </w:pPr>
      <w:r w:rsidRPr="002B58A3">
        <w:rPr>
          <w:spacing w:val="4"/>
        </w:rPr>
        <w:t>A ABNT</w:t>
      </w:r>
      <w:r w:rsidRPr="002B58A3">
        <w:rPr>
          <w:spacing w:val="-20"/>
        </w:rPr>
        <w:t xml:space="preserve"> </w:t>
      </w:r>
      <w:r w:rsidRPr="002B58A3">
        <w:t>chama</w:t>
      </w:r>
      <w:r w:rsidRPr="002B58A3">
        <w:rPr>
          <w:spacing w:val="-16"/>
        </w:rPr>
        <w:t xml:space="preserve"> </w:t>
      </w:r>
      <w:r w:rsidRPr="002B58A3">
        <w:t>a</w:t>
      </w:r>
      <w:r w:rsidRPr="002B58A3">
        <w:rPr>
          <w:spacing w:val="-16"/>
        </w:rPr>
        <w:t xml:space="preserve"> </w:t>
      </w:r>
      <w:r w:rsidRPr="002B58A3">
        <w:t>atenção</w:t>
      </w:r>
      <w:r w:rsidRPr="002B58A3">
        <w:rPr>
          <w:spacing w:val="-17"/>
        </w:rPr>
        <w:t xml:space="preserve"> </w:t>
      </w:r>
      <w:r w:rsidRPr="002B58A3">
        <w:t>para</w:t>
      </w:r>
      <w:r w:rsidRPr="002B58A3">
        <w:rPr>
          <w:spacing w:val="-16"/>
        </w:rPr>
        <w:t xml:space="preserve"> </w:t>
      </w:r>
      <w:r w:rsidRPr="002B58A3">
        <w:t>que,</w:t>
      </w:r>
      <w:r w:rsidRPr="002B58A3">
        <w:rPr>
          <w:spacing w:val="-16"/>
        </w:rPr>
        <w:t xml:space="preserve"> </w:t>
      </w:r>
      <w:r w:rsidRPr="002B58A3">
        <w:t>apesar</w:t>
      </w:r>
      <w:r w:rsidRPr="002B58A3">
        <w:rPr>
          <w:spacing w:val="-16"/>
        </w:rPr>
        <w:t xml:space="preserve"> </w:t>
      </w:r>
      <w:r w:rsidRPr="002B58A3">
        <w:t>de</w:t>
      </w:r>
      <w:r w:rsidRPr="002B58A3">
        <w:rPr>
          <w:spacing w:val="-16"/>
        </w:rPr>
        <w:t xml:space="preserve"> </w:t>
      </w:r>
      <w:r w:rsidRPr="002B58A3">
        <w:t>ter</w:t>
      </w:r>
      <w:r w:rsidRPr="002B58A3">
        <w:rPr>
          <w:spacing w:val="-15"/>
        </w:rPr>
        <w:t xml:space="preserve"> </w:t>
      </w:r>
      <w:r w:rsidRPr="002B58A3">
        <w:t>sido</w:t>
      </w:r>
      <w:r w:rsidRPr="002B58A3">
        <w:rPr>
          <w:spacing w:val="-16"/>
        </w:rPr>
        <w:t xml:space="preserve"> </w:t>
      </w:r>
      <w:r w:rsidRPr="002B58A3">
        <w:t>solicitada</w:t>
      </w:r>
      <w:r w:rsidRPr="002B58A3">
        <w:rPr>
          <w:spacing w:val="-15"/>
        </w:rPr>
        <w:t xml:space="preserve"> </w:t>
      </w:r>
      <w:r w:rsidRPr="002B58A3">
        <w:t>manifestação</w:t>
      </w:r>
      <w:r w:rsidRPr="002B58A3">
        <w:rPr>
          <w:spacing w:val="-15"/>
        </w:rPr>
        <w:t xml:space="preserve"> </w:t>
      </w:r>
      <w:r w:rsidRPr="002B58A3">
        <w:t>sobre</w:t>
      </w:r>
      <w:r w:rsidRPr="002B58A3">
        <w:rPr>
          <w:spacing w:val="-15"/>
        </w:rPr>
        <w:t xml:space="preserve"> </w:t>
      </w:r>
      <w:r w:rsidRPr="002B58A3">
        <w:t>eventuais</w:t>
      </w:r>
      <w:r w:rsidRPr="002B58A3">
        <w:rPr>
          <w:spacing w:val="-15"/>
        </w:rPr>
        <w:t xml:space="preserve"> </w:t>
      </w:r>
      <w:r w:rsidRPr="002B58A3">
        <w:t>direitos de patentes durante a Consulta Nacional, estes podem ocorrer e devem ser comunicados à ABNT a qualquer momento (Lei nº 9.279, de 14 de maio de</w:t>
      </w:r>
      <w:r w:rsidRPr="002B58A3">
        <w:rPr>
          <w:spacing w:val="-12"/>
        </w:rPr>
        <w:t xml:space="preserve"> </w:t>
      </w:r>
      <w:r w:rsidRPr="002B58A3">
        <w:t>1996).</w:t>
      </w:r>
    </w:p>
    <w:p w14:paraId="03332A14" w14:textId="77777777" w:rsidR="004928F1" w:rsidRPr="002B58A3" w:rsidRDefault="004928F1" w:rsidP="004928F1">
      <w:pPr>
        <w:pStyle w:val="Pargrafo11pt"/>
        <w:rPr>
          <w:spacing w:val="-5"/>
          <w:szCs w:val="22"/>
        </w:rPr>
      </w:pPr>
      <w:r w:rsidRPr="002B58A3">
        <w:t xml:space="preserve">Os Documentos Técnicos </w:t>
      </w:r>
      <w:r w:rsidRPr="002B58A3">
        <w:rPr>
          <w:spacing w:val="-5"/>
        </w:rPr>
        <w:t xml:space="preserve">ABNT, </w:t>
      </w:r>
      <w:r w:rsidRPr="002B58A3">
        <w:t>assim como as Normas Internacionais (ISO e IEC), são voluntários e não incluem requisitos contratuais, legais ou estatutários. Os Documentos Técnicos ABNT não substituem</w:t>
      </w:r>
      <w:r w:rsidRPr="002B58A3">
        <w:rPr>
          <w:spacing w:val="-17"/>
        </w:rPr>
        <w:t xml:space="preserve"> </w:t>
      </w:r>
      <w:r w:rsidRPr="002B58A3">
        <w:t>Leis,</w:t>
      </w:r>
      <w:r w:rsidRPr="002B58A3">
        <w:rPr>
          <w:spacing w:val="-17"/>
        </w:rPr>
        <w:t xml:space="preserve"> </w:t>
      </w:r>
      <w:r w:rsidRPr="002B58A3">
        <w:t>Decretos</w:t>
      </w:r>
      <w:r w:rsidRPr="002B58A3">
        <w:rPr>
          <w:spacing w:val="-16"/>
        </w:rPr>
        <w:t xml:space="preserve"> </w:t>
      </w:r>
      <w:r w:rsidRPr="002B58A3">
        <w:t>ou</w:t>
      </w:r>
      <w:r w:rsidRPr="002B58A3">
        <w:rPr>
          <w:spacing w:val="-17"/>
        </w:rPr>
        <w:t xml:space="preserve"> </w:t>
      </w:r>
      <w:r w:rsidRPr="002B58A3">
        <w:t>Regulamentos,</w:t>
      </w:r>
      <w:r w:rsidRPr="002B58A3">
        <w:rPr>
          <w:spacing w:val="-16"/>
        </w:rPr>
        <w:t xml:space="preserve"> </w:t>
      </w:r>
      <w:r w:rsidRPr="002B58A3">
        <w:t>aos</w:t>
      </w:r>
      <w:r w:rsidRPr="002B58A3">
        <w:rPr>
          <w:spacing w:val="-17"/>
        </w:rPr>
        <w:t xml:space="preserve"> </w:t>
      </w:r>
      <w:r w:rsidRPr="002B58A3">
        <w:t>quais</w:t>
      </w:r>
      <w:r w:rsidRPr="002B58A3">
        <w:rPr>
          <w:spacing w:val="-16"/>
        </w:rPr>
        <w:t xml:space="preserve"> </w:t>
      </w:r>
      <w:r w:rsidRPr="002B58A3">
        <w:t>os</w:t>
      </w:r>
      <w:r w:rsidRPr="002B58A3">
        <w:rPr>
          <w:spacing w:val="-17"/>
        </w:rPr>
        <w:t xml:space="preserve"> </w:t>
      </w:r>
      <w:r w:rsidRPr="002B58A3">
        <w:t>usuários</w:t>
      </w:r>
      <w:r w:rsidRPr="002B58A3">
        <w:rPr>
          <w:spacing w:val="-16"/>
        </w:rPr>
        <w:t xml:space="preserve"> </w:t>
      </w:r>
      <w:r w:rsidRPr="002B58A3">
        <w:t>devem</w:t>
      </w:r>
      <w:r w:rsidRPr="002B58A3">
        <w:rPr>
          <w:spacing w:val="-17"/>
        </w:rPr>
        <w:t xml:space="preserve"> </w:t>
      </w:r>
      <w:r w:rsidRPr="002B58A3">
        <w:rPr>
          <w:spacing w:val="-3"/>
        </w:rPr>
        <w:t>atender,</w:t>
      </w:r>
      <w:r w:rsidRPr="002B58A3">
        <w:rPr>
          <w:spacing w:val="-16"/>
        </w:rPr>
        <w:t xml:space="preserve"> </w:t>
      </w:r>
      <w:r w:rsidRPr="002B58A3">
        <w:t>tendo</w:t>
      </w:r>
      <w:r w:rsidRPr="002B58A3">
        <w:rPr>
          <w:spacing w:val="-17"/>
        </w:rPr>
        <w:t xml:space="preserve"> </w:t>
      </w:r>
      <w:r w:rsidRPr="002B58A3">
        <w:t>precedência sobre qualquer Documento Técnico</w:t>
      </w:r>
      <w:r w:rsidRPr="002B58A3">
        <w:rPr>
          <w:spacing w:val="-18"/>
        </w:rPr>
        <w:t xml:space="preserve"> </w:t>
      </w:r>
      <w:r w:rsidRPr="002B58A3">
        <w:rPr>
          <w:spacing w:val="-5"/>
        </w:rPr>
        <w:t>ABNT.</w:t>
      </w:r>
    </w:p>
    <w:p w14:paraId="5CE1FD22" w14:textId="77777777" w:rsidR="004928F1" w:rsidRPr="002B58A3" w:rsidRDefault="004928F1" w:rsidP="004928F1">
      <w:pPr>
        <w:pStyle w:val="Pargrafo11pt"/>
        <w:rPr>
          <w:spacing w:val="-5"/>
          <w:szCs w:val="22"/>
        </w:rPr>
      </w:pPr>
      <w:r w:rsidRPr="002B58A3">
        <w:t>Ressalta-se que os Documentos Técnicos ABNT podem ser objeto de citação em Regulamentos Técnicos.</w:t>
      </w:r>
      <w:r w:rsidRPr="002B58A3">
        <w:rPr>
          <w:spacing w:val="-9"/>
        </w:rPr>
        <w:t xml:space="preserve"> </w:t>
      </w:r>
      <w:r w:rsidRPr="002B58A3">
        <w:t>Nestes</w:t>
      </w:r>
      <w:r w:rsidRPr="002B58A3">
        <w:rPr>
          <w:spacing w:val="-8"/>
        </w:rPr>
        <w:t xml:space="preserve"> </w:t>
      </w:r>
      <w:r w:rsidRPr="002B58A3">
        <w:t>casos,</w:t>
      </w:r>
      <w:r w:rsidRPr="002B58A3">
        <w:rPr>
          <w:spacing w:val="-9"/>
        </w:rPr>
        <w:t xml:space="preserve"> </w:t>
      </w:r>
      <w:r w:rsidRPr="002B58A3">
        <w:t>os</w:t>
      </w:r>
      <w:r w:rsidRPr="002B58A3">
        <w:rPr>
          <w:spacing w:val="-8"/>
        </w:rPr>
        <w:t xml:space="preserve"> </w:t>
      </w:r>
      <w:r w:rsidRPr="002B58A3">
        <w:t>órgãos</w:t>
      </w:r>
      <w:r w:rsidRPr="002B58A3">
        <w:rPr>
          <w:spacing w:val="-8"/>
        </w:rPr>
        <w:t xml:space="preserve"> </w:t>
      </w:r>
      <w:r w:rsidRPr="002B58A3">
        <w:t>responsáveis</w:t>
      </w:r>
      <w:r w:rsidRPr="002B58A3">
        <w:rPr>
          <w:spacing w:val="-9"/>
        </w:rPr>
        <w:t xml:space="preserve"> </w:t>
      </w:r>
      <w:r w:rsidRPr="002B58A3">
        <w:t>pelos</w:t>
      </w:r>
      <w:r w:rsidRPr="002B58A3">
        <w:rPr>
          <w:spacing w:val="-8"/>
        </w:rPr>
        <w:t xml:space="preserve"> </w:t>
      </w:r>
      <w:r w:rsidRPr="002B58A3">
        <w:t>Regulamentos</w:t>
      </w:r>
      <w:r w:rsidRPr="002B58A3">
        <w:rPr>
          <w:spacing w:val="-12"/>
        </w:rPr>
        <w:t xml:space="preserve"> </w:t>
      </w:r>
      <w:r w:rsidRPr="002B58A3">
        <w:t>Técnicos</w:t>
      </w:r>
      <w:r w:rsidRPr="002B58A3">
        <w:rPr>
          <w:spacing w:val="-9"/>
        </w:rPr>
        <w:t xml:space="preserve"> </w:t>
      </w:r>
      <w:r w:rsidRPr="002B58A3">
        <w:t>podem</w:t>
      </w:r>
      <w:r w:rsidRPr="002B58A3">
        <w:rPr>
          <w:spacing w:val="-8"/>
        </w:rPr>
        <w:t xml:space="preserve"> </w:t>
      </w:r>
      <w:r w:rsidRPr="002B58A3">
        <w:t>determinar</w:t>
      </w:r>
      <w:r w:rsidRPr="002B58A3">
        <w:rPr>
          <w:spacing w:val="-8"/>
        </w:rPr>
        <w:t xml:space="preserve"> </w:t>
      </w:r>
      <w:r w:rsidRPr="002B58A3">
        <w:t>as datas para exigência dos requisitos de quaisquer Documentos Técnicos</w:t>
      </w:r>
      <w:r w:rsidRPr="002B58A3">
        <w:rPr>
          <w:spacing w:val="-29"/>
        </w:rPr>
        <w:t xml:space="preserve"> </w:t>
      </w:r>
      <w:r w:rsidRPr="002B58A3">
        <w:rPr>
          <w:spacing w:val="-5"/>
        </w:rPr>
        <w:t>ABNT.</w:t>
      </w:r>
    </w:p>
    <w:p w14:paraId="64B8E036" w14:textId="77777777" w:rsidR="004928F1" w:rsidRPr="002B58A3" w:rsidRDefault="004928F1" w:rsidP="004928F1">
      <w:pPr>
        <w:pStyle w:val="Scopettuloitlico"/>
        <w:rPr>
          <w:lang w:val="en-US"/>
        </w:rPr>
      </w:pPr>
      <w:r w:rsidRPr="002B58A3">
        <w:rPr>
          <w:lang w:val="en-US"/>
        </w:rPr>
        <w:t>Scope</w:t>
      </w:r>
    </w:p>
    <w:p w14:paraId="251691BE" w14:textId="77777777" w:rsidR="007536CC" w:rsidRPr="004752A4" w:rsidRDefault="007536CC" w:rsidP="007536CC">
      <w:pPr>
        <w:spacing w:after="0"/>
        <w:rPr>
          <w:i/>
          <w:iCs/>
          <w:lang w:val="en-CA"/>
        </w:rPr>
      </w:pPr>
      <w:r w:rsidRPr="004752A4">
        <w:rPr>
          <w:i/>
          <w:iCs/>
          <w:lang w:val="en-CA"/>
        </w:rPr>
        <w:t xml:space="preserve">This part of the standard establishes the requirements for the design of structural masonry constructed from the placement of blocks with thin joints made of polymeric compound, carried out in accordance with </w:t>
      </w:r>
      <w:r w:rsidRPr="004752A4">
        <w:rPr>
          <w:i/>
          <w:iCs/>
          <w:highlight w:val="yellow"/>
          <w:lang w:val="en-CA"/>
        </w:rPr>
        <w:t>BASE TEXT 002:123.010-XXX-2.</w:t>
      </w:r>
    </w:p>
    <w:p w14:paraId="6DE1DD05" w14:textId="77777777" w:rsidR="007536CC" w:rsidRPr="004752A4" w:rsidRDefault="007536CC" w:rsidP="007536CC">
      <w:pPr>
        <w:spacing w:after="0"/>
        <w:rPr>
          <w:i/>
          <w:iCs/>
          <w:lang w:val="en-CA"/>
        </w:rPr>
      </w:pPr>
    </w:p>
    <w:p w14:paraId="0CE8EF19" w14:textId="77777777" w:rsidR="007536CC" w:rsidRPr="004752A4" w:rsidRDefault="007536CC" w:rsidP="007536CC">
      <w:pPr>
        <w:spacing w:after="0"/>
        <w:rPr>
          <w:i/>
          <w:iCs/>
          <w:lang w:val="en-CA"/>
        </w:rPr>
      </w:pPr>
      <w:r w:rsidRPr="004752A4">
        <w:rPr>
          <w:i/>
          <w:iCs/>
          <w:lang w:val="en-CA"/>
        </w:rPr>
        <w:t>This standard applies only to buildings with up to two floors, which meet the following conditions:</w:t>
      </w:r>
    </w:p>
    <w:p w14:paraId="5F29434F" w14:textId="77777777" w:rsidR="007536CC" w:rsidRPr="004752A4" w:rsidRDefault="007536CC" w:rsidP="007536CC">
      <w:pPr>
        <w:spacing w:after="0"/>
        <w:rPr>
          <w:i/>
          <w:iCs/>
          <w:lang w:val="en-CA"/>
        </w:rPr>
      </w:pPr>
    </w:p>
    <w:p w14:paraId="552C14CC" w14:textId="77777777" w:rsidR="00CE07EF" w:rsidRPr="004752A4" w:rsidRDefault="007536CC" w:rsidP="006B7806">
      <w:pPr>
        <w:pStyle w:val="PargrafodaLista"/>
        <w:numPr>
          <w:ilvl w:val="0"/>
          <w:numId w:val="8"/>
        </w:numPr>
        <w:spacing w:after="0"/>
        <w:rPr>
          <w:i/>
          <w:iCs/>
          <w:lang w:val="en-CA"/>
        </w:rPr>
      </w:pPr>
      <w:r w:rsidRPr="004752A4">
        <w:rPr>
          <w:i/>
          <w:iCs/>
          <w:lang w:val="en-CA"/>
        </w:rPr>
        <w:t xml:space="preserve">main free span slabs (minimum dimension) with a maximum of 4 m and a maximum variable action of 3 </w:t>
      </w:r>
      <w:proofErr w:type="spellStart"/>
      <w:r w:rsidRPr="004752A4">
        <w:rPr>
          <w:i/>
          <w:iCs/>
          <w:lang w:val="en-CA"/>
        </w:rPr>
        <w:t>kN</w:t>
      </w:r>
      <w:proofErr w:type="spellEnd"/>
      <w:r w:rsidRPr="004752A4">
        <w:rPr>
          <w:i/>
          <w:iCs/>
          <w:lang w:val="en-CA"/>
        </w:rPr>
        <w:t>/m</w:t>
      </w:r>
      <w:proofErr w:type="gramStart"/>
      <w:r w:rsidRPr="004752A4">
        <w:rPr>
          <w:i/>
          <w:iCs/>
          <w:lang w:val="en-CA"/>
        </w:rPr>
        <w:t>²</w:t>
      </w:r>
      <w:r w:rsidR="00CE07EF" w:rsidRPr="004752A4">
        <w:rPr>
          <w:i/>
          <w:iCs/>
          <w:lang w:val="en-CA"/>
        </w:rPr>
        <w:t>;</w:t>
      </w:r>
      <w:proofErr w:type="gramEnd"/>
    </w:p>
    <w:p w14:paraId="4A07546E" w14:textId="0F638638" w:rsidR="007536CC" w:rsidRPr="004752A4" w:rsidRDefault="007536CC" w:rsidP="006B7806">
      <w:pPr>
        <w:pStyle w:val="PargrafodaLista"/>
        <w:numPr>
          <w:ilvl w:val="0"/>
          <w:numId w:val="8"/>
        </w:numPr>
        <w:spacing w:after="0"/>
        <w:rPr>
          <w:i/>
          <w:iCs/>
          <w:lang w:val="en-CA"/>
        </w:rPr>
      </w:pPr>
      <w:r w:rsidRPr="004752A4">
        <w:rPr>
          <w:i/>
          <w:iCs/>
          <w:lang w:val="en-CA"/>
        </w:rPr>
        <w:t xml:space="preserve">openings, doors, and windows with a maximum width of 1.50 m, measured </w:t>
      </w:r>
      <w:proofErr w:type="gramStart"/>
      <w:r w:rsidRPr="004752A4">
        <w:rPr>
          <w:i/>
          <w:iCs/>
          <w:lang w:val="en-CA"/>
        </w:rPr>
        <w:t>horizontally</w:t>
      </w:r>
      <w:r w:rsidR="00EC3BF1" w:rsidRPr="004752A4">
        <w:rPr>
          <w:i/>
          <w:iCs/>
          <w:lang w:val="en-CA"/>
        </w:rPr>
        <w:t>;</w:t>
      </w:r>
      <w:proofErr w:type="gramEnd"/>
    </w:p>
    <w:p w14:paraId="163EE950" w14:textId="0043BE28" w:rsidR="007536CC" w:rsidRPr="004752A4" w:rsidRDefault="007536CC" w:rsidP="006B7806">
      <w:pPr>
        <w:pStyle w:val="PargrafodaLista"/>
        <w:numPr>
          <w:ilvl w:val="0"/>
          <w:numId w:val="8"/>
        </w:numPr>
        <w:spacing w:after="0"/>
        <w:rPr>
          <w:i/>
          <w:iCs/>
          <w:lang w:val="en-CA"/>
        </w:rPr>
      </w:pPr>
      <w:r w:rsidRPr="004752A4">
        <w:rPr>
          <w:i/>
          <w:iCs/>
          <w:lang w:val="en-CA"/>
        </w:rPr>
        <w:t xml:space="preserve">maximum distance between floors of 3 </w:t>
      </w:r>
      <w:proofErr w:type="gramStart"/>
      <w:r w:rsidRPr="004752A4">
        <w:rPr>
          <w:i/>
          <w:iCs/>
          <w:lang w:val="en-CA"/>
        </w:rPr>
        <w:t>m</w:t>
      </w:r>
      <w:r w:rsidR="00EC3BF1" w:rsidRPr="004752A4">
        <w:rPr>
          <w:i/>
          <w:iCs/>
          <w:lang w:val="en-CA"/>
        </w:rPr>
        <w:t>;</w:t>
      </w:r>
      <w:proofErr w:type="gramEnd"/>
    </w:p>
    <w:p w14:paraId="06896461" w14:textId="77777777" w:rsidR="007536CC" w:rsidRPr="004752A4" w:rsidRDefault="007536CC" w:rsidP="006B7806">
      <w:pPr>
        <w:pStyle w:val="PargrafodaLista"/>
        <w:numPr>
          <w:ilvl w:val="0"/>
          <w:numId w:val="8"/>
        </w:numPr>
        <w:spacing w:after="0"/>
        <w:rPr>
          <w:i/>
          <w:iCs/>
          <w:lang w:val="en-CA"/>
        </w:rPr>
      </w:pPr>
      <w:r w:rsidRPr="004752A4">
        <w:rPr>
          <w:i/>
          <w:iCs/>
          <w:lang w:val="en-CA"/>
        </w:rPr>
        <w:t>walls must have bracing at the bottom (slab or beam) and top (slab</w:t>
      </w:r>
      <w:proofErr w:type="gramStart"/>
      <w:r w:rsidRPr="004752A4">
        <w:rPr>
          <w:i/>
          <w:iCs/>
          <w:lang w:val="en-CA"/>
        </w:rPr>
        <w:t>);</w:t>
      </w:r>
      <w:proofErr w:type="gramEnd"/>
    </w:p>
    <w:p w14:paraId="5FDC8732" w14:textId="77777777" w:rsidR="007536CC" w:rsidRPr="004752A4" w:rsidRDefault="007536CC" w:rsidP="006B7806">
      <w:pPr>
        <w:pStyle w:val="PargrafodaLista"/>
        <w:numPr>
          <w:ilvl w:val="0"/>
          <w:numId w:val="8"/>
        </w:numPr>
        <w:spacing w:after="0"/>
        <w:rPr>
          <w:i/>
          <w:iCs/>
          <w:lang w:val="en-CA"/>
        </w:rPr>
      </w:pPr>
      <w:r w:rsidRPr="004752A4">
        <w:rPr>
          <w:i/>
          <w:iCs/>
          <w:lang w:val="en-CA"/>
        </w:rPr>
        <w:t>minimum wall density index of 0.6 m in length per square meter of floor area. For calculating this index, consider the area of the walls, subtracting openings, and divide by the height (floor to ceiling). This index must also not be less than 0.3 m/m² in each principal direction of the building.</w:t>
      </w:r>
    </w:p>
    <w:p w14:paraId="2B67A4C1" w14:textId="77777777" w:rsidR="00EC3BF1" w:rsidRPr="004752A4" w:rsidRDefault="00EC3BF1" w:rsidP="00EC3BF1">
      <w:pPr>
        <w:pStyle w:val="PargrafodaLista"/>
        <w:spacing w:after="0"/>
        <w:rPr>
          <w:i/>
          <w:iCs/>
          <w:lang w:val="en-CA"/>
        </w:rPr>
      </w:pPr>
    </w:p>
    <w:p w14:paraId="2A3B7E94" w14:textId="77777777" w:rsidR="007536CC" w:rsidRPr="004752A4" w:rsidRDefault="007536CC" w:rsidP="007536CC">
      <w:pPr>
        <w:spacing w:after="0"/>
        <w:rPr>
          <w:i/>
          <w:iCs/>
          <w:lang w:val="en-CA"/>
        </w:rPr>
      </w:pPr>
      <w:r w:rsidRPr="004752A4">
        <w:rPr>
          <w:i/>
          <w:iCs/>
          <w:lang w:val="en-CA"/>
        </w:rPr>
        <w:t>This standard applies only to structural masonry consisting of ceramic or concrete blocks.</w:t>
      </w:r>
    </w:p>
    <w:p w14:paraId="3E843D6C" w14:textId="77777777" w:rsidR="007536CC" w:rsidRPr="004752A4" w:rsidRDefault="007536CC" w:rsidP="007536CC">
      <w:pPr>
        <w:spacing w:after="0"/>
        <w:rPr>
          <w:i/>
          <w:iCs/>
          <w:lang w:val="en-CA"/>
        </w:rPr>
      </w:pPr>
      <w:r w:rsidRPr="004752A4">
        <w:rPr>
          <w:i/>
          <w:iCs/>
          <w:lang w:val="en-CA"/>
        </w:rPr>
        <w:lastRenderedPageBreak/>
        <w:t>This standard also applies to the structural performance analysis of masonry elements integrated into other structural systems.</w:t>
      </w:r>
    </w:p>
    <w:p w14:paraId="72353D3C" w14:textId="77777777" w:rsidR="007536CC" w:rsidRPr="004752A4" w:rsidRDefault="007536CC" w:rsidP="007536CC">
      <w:pPr>
        <w:spacing w:after="0"/>
        <w:rPr>
          <w:i/>
          <w:iCs/>
          <w:lang w:val="en-CA"/>
        </w:rPr>
      </w:pPr>
    </w:p>
    <w:p w14:paraId="7F7B214D" w14:textId="77777777" w:rsidR="007536CC" w:rsidRPr="004752A4" w:rsidRDefault="007536CC" w:rsidP="004752A4">
      <w:pPr>
        <w:rPr>
          <w:i/>
          <w:iCs/>
          <w:lang w:val="en-CA"/>
        </w:rPr>
      </w:pPr>
      <w:r w:rsidRPr="004752A4">
        <w:rPr>
          <w:i/>
          <w:iCs/>
          <w:lang w:val="en-CA"/>
        </w:rPr>
        <w:t>This standard does not apply to:</w:t>
      </w:r>
    </w:p>
    <w:p w14:paraId="31B98694" w14:textId="77777777" w:rsidR="007536CC" w:rsidRPr="004752A4" w:rsidRDefault="007536CC" w:rsidP="004752A4">
      <w:pPr>
        <w:rPr>
          <w:i/>
          <w:iCs/>
          <w:lang w:val="en-CA"/>
        </w:rPr>
      </w:pPr>
      <w:r w:rsidRPr="004752A4">
        <w:rPr>
          <w:i/>
          <w:iCs/>
          <w:lang w:val="en-CA"/>
        </w:rPr>
        <w:t xml:space="preserve">a) reinforced or post-tensioned structural </w:t>
      </w:r>
      <w:proofErr w:type="gramStart"/>
      <w:r w:rsidRPr="004752A4">
        <w:rPr>
          <w:i/>
          <w:iCs/>
          <w:lang w:val="en-CA"/>
        </w:rPr>
        <w:t>masonry;</w:t>
      </w:r>
      <w:proofErr w:type="gramEnd"/>
    </w:p>
    <w:p w14:paraId="356C9C21" w14:textId="77777777" w:rsidR="007536CC" w:rsidRPr="004752A4" w:rsidRDefault="007536CC" w:rsidP="004752A4">
      <w:pPr>
        <w:rPr>
          <w:i/>
          <w:iCs/>
          <w:lang w:val="en-CA"/>
        </w:rPr>
      </w:pPr>
      <w:r w:rsidRPr="004752A4">
        <w:rPr>
          <w:i/>
          <w:iCs/>
          <w:lang w:val="en-CA"/>
        </w:rPr>
        <w:t>b) foundation elements or retaining walls.</w:t>
      </w:r>
    </w:p>
    <w:p w14:paraId="22AE78F4" w14:textId="77777777" w:rsidR="007536CC" w:rsidRPr="004752A4" w:rsidRDefault="007536CC" w:rsidP="007536CC">
      <w:pPr>
        <w:spacing w:after="0"/>
        <w:rPr>
          <w:i/>
          <w:iCs/>
          <w:lang w:val="en-CA"/>
        </w:rPr>
      </w:pPr>
    </w:p>
    <w:p w14:paraId="1A62EFC0" w14:textId="77777777" w:rsidR="007536CC" w:rsidRPr="004752A4" w:rsidRDefault="007536CC" w:rsidP="007536CC">
      <w:pPr>
        <w:spacing w:after="0"/>
        <w:rPr>
          <w:i/>
          <w:iCs/>
          <w:lang w:val="en-CA"/>
        </w:rPr>
      </w:pPr>
      <w:r w:rsidRPr="004752A4">
        <w:rPr>
          <w:i/>
          <w:iCs/>
          <w:lang w:val="en-CA"/>
        </w:rPr>
        <w:t>This standard does not include requirements to prevent limit states generated by actions such as earthquakes, impacts, explosions, and fire, except for the situations indicated in the text.</w:t>
      </w:r>
    </w:p>
    <w:p w14:paraId="60945AAF" w14:textId="77777777" w:rsidR="007536CC" w:rsidRPr="004752A4" w:rsidRDefault="007536CC" w:rsidP="007536CC">
      <w:pPr>
        <w:spacing w:after="0"/>
        <w:rPr>
          <w:i/>
          <w:iCs/>
          <w:lang w:val="en-CA"/>
        </w:rPr>
      </w:pPr>
    </w:p>
    <w:p w14:paraId="2F6AA662" w14:textId="5050C5AA" w:rsidR="004928F1" w:rsidRDefault="007536CC" w:rsidP="007536CC">
      <w:pPr>
        <w:spacing w:after="0"/>
        <w:rPr>
          <w:i/>
          <w:iCs/>
          <w:noProof/>
          <w:lang w:val="en-CA"/>
        </w:rPr>
      </w:pPr>
      <w:r w:rsidRPr="004752A4">
        <w:rPr>
          <w:i/>
          <w:iCs/>
          <w:lang w:val="en-CA"/>
        </w:rPr>
        <w:t>This standard does not cover execution aspects related to occupational safety and health, established in government regulations, regulatory standards, and in</w:t>
      </w:r>
      <w:r w:rsidR="004752A4" w:rsidRPr="004752A4">
        <w:rPr>
          <w:i/>
          <w:iCs/>
          <w:lang w:val="en-CA"/>
        </w:rPr>
        <w:br/>
      </w:r>
      <w:r w:rsidRPr="004752A4">
        <w:rPr>
          <w:i/>
          <w:iCs/>
          <w:lang w:val="en-CA"/>
        </w:rPr>
        <w:t>ABNT NBR 12284.</w:t>
      </w:r>
      <w:r w:rsidR="004928F1">
        <w:rPr>
          <w:lang w:val="en-CA"/>
        </w:rPr>
        <w:br w:type="page"/>
      </w:r>
    </w:p>
    <w:p w14:paraId="3949D8A3" w14:textId="5A536858" w:rsidR="00BE29D5" w:rsidRPr="007E484D" w:rsidRDefault="00AE0511" w:rsidP="00270AD2">
      <w:pPr>
        <w:rPr>
          <w:b/>
          <w:bCs/>
        </w:rPr>
      </w:pPr>
      <w:bookmarkStart w:id="9" w:name="_Hlk198735094"/>
      <w:r w:rsidRPr="007E484D">
        <w:rPr>
          <w:b/>
          <w:bCs/>
        </w:rPr>
        <w:lastRenderedPageBreak/>
        <w:t>Alvenaria Estrutural Com Junta Fina de Composto Polimérico</w:t>
      </w:r>
      <w:r w:rsidR="004A63EE" w:rsidRPr="007E484D">
        <w:rPr>
          <w:b/>
          <w:bCs/>
        </w:rPr>
        <w:t xml:space="preserve"> </w:t>
      </w:r>
      <w:bookmarkEnd w:id="9"/>
      <w:r w:rsidR="004A63EE" w:rsidRPr="007E484D">
        <w:rPr>
          <w:b/>
          <w:bCs/>
        </w:rPr>
        <w:t>– Parte 1: Projeto</w:t>
      </w:r>
    </w:p>
    <w:p w14:paraId="1B930370" w14:textId="5CA3D333" w:rsidR="003A3439" w:rsidRPr="007B00F9" w:rsidRDefault="00772327" w:rsidP="00772327">
      <w:pPr>
        <w:rPr>
          <w:i/>
          <w:iCs/>
          <w:lang w:val="en-US"/>
        </w:rPr>
      </w:pPr>
      <w:r w:rsidRPr="007B00F9">
        <w:rPr>
          <w:i/>
          <w:iCs/>
          <w:lang w:val="en-US"/>
        </w:rPr>
        <w:t xml:space="preserve">Structural Masonry </w:t>
      </w:r>
      <w:proofErr w:type="gramStart"/>
      <w:r w:rsidRPr="007B00F9">
        <w:rPr>
          <w:i/>
          <w:iCs/>
          <w:lang w:val="en-US"/>
        </w:rPr>
        <w:t>With</w:t>
      </w:r>
      <w:proofErr w:type="gramEnd"/>
      <w:r w:rsidRPr="007B00F9">
        <w:rPr>
          <w:i/>
          <w:iCs/>
          <w:lang w:val="en-US"/>
        </w:rPr>
        <w:t xml:space="preserve"> Thin Joints </w:t>
      </w:r>
      <w:r w:rsidR="00556283" w:rsidRPr="007B00F9">
        <w:rPr>
          <w:i/>
          <w:iCs/>
          <w:lang w:val="en-US"/>
        </w:rPr>
        <w:t>o</w:t>
      </w:r>
      <w:r w:rsidRPr="007B00F9">
        <w:rPr>
          <w:i/>
          <w:iCs/>
          <w:lang w:val="en-US"/>
        </w:rPr>
        <w:t>f Polymeric Compound</w:t>
      </w:r>
      <w:r w:rsidR="004A63EE" w:rsidRPr="007B00F9">
        <w:rPr>
          <w:i/>
          <w:iCs/>
          <w:lang w:val="en-US"/>
        </w:rPr>
        <w:t xml:space="preserve"> – Part </w:t>
      </w:r>
      <w:r w:rsidR="00ED06A1" w:rsidRPr="007B00F9">
        <w:rPr>
          <w:i/>
          <w:iCs/>
          <w:lang w:val="en-US"/>
        </w:rPr>
        <w:t>1</w:t>
      </w:r>
      <w:r w:rsidR="004A63EE" w:rsidRPr="007B00F9">
        <w:rPr>
          <w:i/>
          <w:iCs/>
          <w:lang w:val="en-US"/>
        </w:rPr>
        <w:t>: Design</w:t>
      </w:r>
    </w:p>
    <w:p w14:paraId="2568B250" w14:textId="77777777" w:rsidR="00BE29D5" w:rsidRPr="00772327" w:rsidRDefault="00BE29D5" w:rsidP="00270AD2">
      <w:pPr>
        <w:rPr>
          <w:b/>
          <w:bCs/>
          <w:highlight w:val="yellow"/>
          <w:lang w:val="en-US"/>
        </w:rPr>
      </w:pPr>
    </w:p>
    <w:p w14:paraId="619F2B20" w14:textId="11E19876" w:rsidR="00270AD2" w:rsidRPr="00D84582" w:rsidRDefault="00270AD2" w:rsidP="00270AD2">
      <w:pPr>
        <w:pStyle w:val="Ttulo1"/>
        <w:rPr>
          <w:sz w:val="26"/>
          <w:szCs w:val="26"/>
        </w:rPr>
      </w:pPr>
      <w:r w:rsidRPr="00D84582">
        <w:rPr>
          <w:sz w:val="26"/>
          <w:szCs w:val="26"/>
        </w:rPr>
        <w:t>Escopo</w:t>
      </w:r>
    </w:p>
    <w:p w14:paraId="002297EA" w14:textId="3A9A1D06" w:rsidR="00270AD2" w:rsidRPr="007F3836" w:rsidRDefault="00270AD2" w:rsidP="00270AD2">
      <w:r w:rsidRPr="007F3836">
        <w:t xml:space="preserve">Esta </w:t>
      </w:r>
      <w:r w:rsidR="00B90DC2">
        <w:t xml:space="preserve">parte da </w:t>
      </w:r>
      <w:r w:rsidR="001E3252">
        <w:t>Norma</w:t>
      </w:r>
      <w:r w:rsidRPr="007F3836">
        <w:t xml:space="preserve"> estabelece os requisitos para o projeto de alvenaria</w:t>
      </w:r>
      <w:r w:rsidR="00A23704">
        <w:t xml:space="preserve"> </w:t>
      </w:r>
      <w:r w:rsidR="008E72C3">
        <w:t xml:space="preserve">estrutural </w:t>
      </w:r>
      <w:r w:rsidR="00117C4B">
        <w:t>construída a partir do</w:t>
      </w:r>
      <w:r w:rsidRPr="007F3836">
        <w:t xml:space="preserve"> assentamento</w:t>
      </w:r>
      <w:r w:rsidR="0034246E">
        <w:t xml:space="preserve"> </w:t>
      </w:r>
      <w:r w:rsidR="00117C4B">
        <w:t>de</w:t>
      </w:r>
      <w:r w:rsidR="0034246E">
        <w:t xml:space="preserve"> blocos</w:t>
      </w:r>
      <w:r w:rsidRPr="007F3836">
        <w:t xml:space="preserve"> </w:t>
      </w:r>
      <w:r w:rsidR="0034246E">
        <w:t>com junta fina</w:t>
      </w:r>
      <w:r w:rsidR="0034246E" w:rsidRPr="007F3836">
        <w:t xml:space="preserve"> </w:t>
      </w:r>
      <w:r w:rsidR="00325F92">
        <w:t>de</w:t>
      </w:r>
      <w:r w:rsidR="00325F92" w:rsidRPr="007F3836">
        <w:t xml:space="preserve"> </w:t>
      </w:r>
      <w:r w:rsidRPr="007F3836">
        <w:t>composto polimérico</w:t>
      </w:r>
      <w:r w:rsidR="004C6B14">
        <w:t xml:space="preserve">, executadas conforme </w:t>
      </w:r>
      <w:r w:rsidR="00C51120" w:rsidRPr="00A74C7C">
        <w:rPr>
          <w:highlight w:val="cyan"/>
        </w:rPr>
        <w:t>TEXTO BASE 002:123.010-XXX</w:t>
      </w:r>
      <w:r w:rsidR="004C6B14" w:rsidRPr="00A74C7C">
        <w:rPr>
          <w:highlight w:val="cyan"/>
        </w:rPr>
        <w:t>-</w:t>
      </w:r>
      <w:r w:rsidR="008E7446" w:rsidRPr="00A74C7C">
        <w:rPr>
          <w:highlight w:val="cyan"/>
        </w:rPr>
        <w:t>2</w:t>
      </w:r>
      <w:r w:rsidRPr="00A74C7C">
        <w:rPr>
          <w:highlight w:val="cyan"/>
        </w:rPr>
        <w:t>.</w:t>
      </w:r>
    </w:p>
    <w:p w14:paraId="3F5460A8" w14:textId="3A43B033" w:rsidR="006A70F5" w:rsidRDefault="008E72C3" w:rsidP="006A70F5">
      <w:r>
        <w:t xml:space="preserve">Esta Norma se aplica somente às edificações de até </w:t>
      </w:r>
      <w:r w:rsidR="00AE11A4">
        <w:t xml:space="preserve">dois </w:t>
      </w:r>
      <w:r>
        <w:t>pavimentos</w:t>
      </w:r>
      <w:r w:rsidR="006A70F5">
        <w:t xml:space="preserve">, </w:t>
      </w:r>
      <w:r w:rsidR="006A70F5" w:rsidRPr="00EF4CFD">
        <w:t>que atende</w:t>
      </w:r>
      <w:r w:rsidR="00C51120">
        <w:t>rem</w:t>
      </w:r>
      <w:r w:rsidR="006A70F5" w:rsidRPr="00EF4CFD">
        <w:t xml:space="preserve"> às seguintes condições: </w:t>
      </w:r>
    </w:p>
    <w:p w14:paraId="230CD4E4" w14:textId="77777777" w:rsidR="006A70F5" w:rsidRDefault="006A70F5" w:rsidP="00872DD7">
      <w:pPr>
        <w:ind w:left="357"/>
      </w:pPr>
      <w:r>
        <w:t>-</w:t>
      </w:r>
      <w:r w:rsidRPr="00EF4CFD">
        <w:t xml:space="preserve"> </w:t>
      </w:r>
      <w:proofErr w:type="gramStart"/>
      <w:r w:rsidRPr="00EF4CFD">
        <w:t>lajes</w:t>
      </w:r>
      <w:proofErr w:type="gramEnd"/>
      <w:r w:rsidRPr="00EF4CFD">
        <w:t xml:space="preserve"> de vão livre principal (menor dimensão) máximo de 4 m e ação variável máxima de 3 </w:t>
      </w:r>
      <w:proofErr w:type="spellStart"/>
      <w:r w:rsidRPr="00EF4CFD">
        <w:t>kN</w:t>
      </w:r>
      <w:proofErr w:type="spellEnd"/>
      <w:r w:rsidRPr="00EF4CFD">
        <w:t>/m</w:t>
      </w:r>
      <w:r w:rsidRPr="00EF4CFD">
        <w:rPr>
          <w:vertAlign w:val="superscript"/>
        </w:rPr>
        <w:t>2</w:t>
      </w:r>
      <w:r w:rsidRPr="00EF4CFD">
        <w:t>,</w:t>
      </w:r>
    </w:p>
    <w:p w14:paraId="3E4FE9B9" w14:textId="32281C11" w:rsidR="006A70F5" w:rsidRDefault="006A70F5" w:rsidP="00872DD7">
      <w:pPr>
        <w:ind w:left="357"/>
      </w:pPr>
      <w:r>
        <w:t xml:space="preserve">- </w:t>
      </w:r>
      <w:proofErr w:type="gramStart"/>
      <w:r w:rsidRPr="00EF4CFD">
        <w:t>aberturas</w:t>
      </w:r>
      <w:proofErr w:type="gramEnd"/>
      <w:r w:rsidRPr="00EF4CFD">
        <w:t>, portas e janelas de no máximo 1,</w:t>
      </w:r>
      <w:r>
        <w:t>5</w:t>
      </w:r>
      <w:r w:rsidRPr="00EF4CFD">
        <w:t>0 m, medidas na horizontal</w:t>
      </w:r>
      <w:r w:rsidR="002D553E">
        <w:t>;</w:t>
      </w:r>
    </w:p>
    <w:p w14:paraId="1AC62F35" w14:textId="09F7C4AC" w:rsidR="006A70F5" w:rsidRDefault="006A70F5" w:rsidP="00872DD7">
      <w:pPr>
        <w:ind w:left="357"/>
      </w:pPr>
      <w:r>
        <w:t>-</w:t>
      </w:r>
      <w:r w:rsidRPr="00EF4CFD">
        <w:t xml:space="preserve"> </w:t>
      </w:r>
      <w:proofErr w:type="gramStart"/>
      <w:r w:rsidRPr="00EF4CFD">
        <w:t>distância</w:t>
      </w:r>
      <w:proofErr w:type="gramEnd"/>
      <w:r w:rsidRPr="00EF4CFD">
        <w:t xml:space="preserve"> máxima entre pisos de 3 m</w:t>
      </w:r>
      <w:r w:rsidR="002D553E">
        <w:t>;</w:t>
      </w:r>
    </w:p>
    <w:p w14:paraId="16528FFD" w14:textId="0CE5AD3D" w:rsidR="000A15EE" w:rsidRDefault="000A15EE" w:rsidP="00872DD7">
      <w:pPr>
        <w:ind w:left="357"/>
      </w:pPr>
      <w:r>
        <w:t xml:space="preserve">- </w:t>
      </w:r>
      <w:proofErr w:type="gramStart"/>
      <w:r>
        <w:t>paredes</w:t>
      </w:r>
      <w:proofErr w:type="gramEnd"/>
      <w:r>
        <w:t xml:space="preserve"> devem ter travamento na parte inferior (laje ou viga) e superior</w:t>
      </w:r>
      <w:r w:rsidR="00603829">
        <w:t xml:space="preserve"> (laje)</w:t>
      </w:r>
      <w:r>
        <w:t>;</w:t>
      </w:r>
    </w:p>
    <w:p w14:paraId="400DC54B" w14:textId="4A6FD7A6" w:rsidR="006A70F5" w:rsidRDefault="006A70F5" w:rsidP="00872DD7">
      <w:pPr>
        <w:ind w:left="357"/>
      </w:pPr>
      <w:r>
        <w:t xml:space="preserve">- </w:t>
      </w:r>
      <w:r w:rsidRPr="00EF4CFD">
        <w:t>índice mínimo de densidade de paredes de 0,</w:t>
      </w:r>
      <w:r>
        <w:t>6</w:t>
      </w:r>
      <w:r w:rsidRPr="00EF4CFD">
        <w:t xml:space="preserve"> m de extensão por metro quadrado de piso. Para o cálculo desse índice, considerar a área das paredes, descontadas as aberturas, e dividir pelo pé-direito (piso a teto). Esse índice também não pode ser inferior a 0,</w:t>
      </w:r>
      <w:r>
        <w:t>3</w:t>
      </w:r>
      <w:r w:rsidRPr="00EF4CFD">
        <w:t xml:space="preserve"> m/m² em cada direção principal da edificação</w:t>
      </w:r>
      <w:r>
        <w:t>.</w:t>
      </w:r>
    </w:p>
    <w:p w14:paraId="0F8777C5" w14:textId="032B2F72" w:rsidR="005730FA" w:rsidRDefault="005730FA" w:rsidP="008E72C3">
      <w:r>
        <w:t xml:space="preserve">Esta Norma se aplica somente </w:t>
      </w:r>
      <w:r w:rsidR="00FF51C3">
        <w:t xml:space="preserve">à alvenaria estrutural </w:t>
      </w:r>
      <w:r w:rsidR="001C58B3">
        <w:t>constituída por blocos cerâmicos ou de concreto.</w:t>
      </w:r>
    </w:p>
    <w:p w14:paraId="4A2AA4A7" w14:textId="2101F8B8" w:rsidR="00270AD2" w:rsidRPr="007F3836" w:rsidRDefault="00270AD2" w:rsidP="00270AD2">
      <w:r w:rsidRPr="007F3836">
        <w:t xml:space="preserve">Esta </w:t>
      </w:r>
      <w:r w:rsidR="008E72C3">
        <w:t>Norma</w:t>
      </w:r>
      <w:r w:rsidRPr="007F3836">
        <w:t xml:space="preserve"> também se aplica à análise do desempenho estrutural de elementos de alvenaria inseridos em outros sistemas estruturais.</w:t>
      </w:r>
    </w:p>
    <w:p w14:paraId="33B54E26" w14:textId="4F3CB90A" w:rsidR="00B04440" w:rsidRDefault="00B04440" w:rsidP="00270AD2">
      <w:r>
        <w:t xml:space="preserve">Esta </w:t>
      </w:r>
      <w:r w:rsidR="008E72C3">
        <w:t>Norma</w:t>
      </w:r>
      <w:r>
        <w:t xml:space="preserve"> não se aplica </w:t>
      </w:r>
      <w:r w:rsidR="00F34D3F">
        <w:t>à</w:t>
      </w:r>
      <w:r>
        <w:t>:</w:t>
      </w:r>
    </w:p>
    <w:p w14:paraId="4B10A89D" w14:textId="56E649ED" w:rsidR="00B04440" w:rsidRDefault="00B04440" w:rsidP="00872DD7">
      <w:pPr>
        <w:pStyle w:val="PargrafodaLista"/>
        <w:numPr>
          <w:ilvl w:val="0"/>
          <w:numId w:val="5"/>
        </w:numPr>
        <w:ind w:left="357" w:hanging="357"/>
      </w:pPr>
      <w:r>
        <w:t xml:space="preserve">alvenaria </w:t>
      </w:r>
      <w:r w:rsidR="00F34D3F">
        <w:t xml:space="preserve">estrutural </w:t>
      </w:r>
      <w:r>
        <w:t>armada</w:t>
      </w:r>
      <w:r w:rsidR="002A7E5F">
        <w:t xml:space="preserve"> ou protendida</w:t>
      </w:r>
      <w:r>
        <w:t>;</w:t>
      </w:r>
    </w:p>
    <w:p w14:paraId="03AA5CEE" w14:textId="4151F48F" w:rsidR="00B04440" w:rsidRDefault="00B04440" w:rsidP="00872DD7">
      <w:pPr>
        <w:pStyle w:val="PargrafodaLista"/>
        <w:numPr>
          <w:ilvl w:val="0"/>
          <w:numId w:val="5"/>
        </w:numPr>
        <w:ind w:left="357" w:hanging="357"/>
      </w:pPr>
      <w:r>
        <w:t>elementos de fundações ou muros de contenção.</w:t>
      </w:r>
    </w:p>
    <w:p w14:paraId="6B354DB9" w14:textId="22DDB70C" w:rsidR="004423BE" w:rsidRPr="007F3836" w:rsidRDefault="004423BE" w:rsidP="004423BE">
      <w:r w:rsidRPr="007F3836">
        <w:t xml:space="preserve">Esta </w:t>
      </w:r>
      <w:r w:rsidR="00C35310">
        <w:t>Norma</w:t>
      </w:r>
      <w:r w:rsidRPr="007F3836">
        <w:t xml:space="preserve"> não inclui requisitos para evitar estados-limite gerados por ações como sismos, impactos, explosões e fogo</w:t>
      </w:r>
      <w:r w:rsidR="002A7E5F">
        <w:t>, exceto para as situações indicadas no texto</w:t>
      </w:r>
      <w:r w:rsidRPr="007F3836">
        <w:t>.</w:t>
      </w:r>
    </w:p>
    <w:p w14:paraId="2D8CE09E" w14:textId="2D27BBB1" w:rsidR="00A74C7C" w:rsidRDefault="00B04440" w:rsidP="00B04440">
      <w:r>
        <w:t xml:space="preserve">Esta </w:t>
      </w:r>
      <w:r w:rsidR="00C35310">
        <w:t>Norma</w:t>
      </w:r>
      <w:r>
        <w:t xml:space="preserve"> não abrange aspectos de execução relativos à segurança do trabalho e à saúde, estabelecidos em regulamentos governamentais, normas regulamentadoras e na ABNT NBR 12284.</w:t>
      </w:r>
    </w:p>
    <w:p w14:paraId="68584B2B" w14:textId="77777777" w:rsidR="00A74C7C" w:rsidRDefault="00A74C7C">
      <w:pPr>
        <w:spacing w:line="240" w:lineRule="auto"/>
        <w:jc w:val="left"/>
      </w:pPr>
      <w:r>
        <w:br w:type="page"/>
      </w:r>
    </w:p>
    <w:p w14:paraId="3060E421" w14:textId="62BC888F" w:rsidR="00270AD2" w:rsidRPr="00D84582" w:rsidRDefault="00270AD2" w:rsidP="00270AD2">
      <w:pPr>
        <w:pStyle w:val="Ttulo1"/>
        <w:rPr>
          <w:sz w:val="26"/>
          <w:szCs w:val="26"/>
        </w:rPr>
      </w:pPr>
      <w:r w:rsidRPr="00D84582">
        <w:rPr>
          <w:sz w:val="26"/>
          <w:szCs w:val="26"/>
        </w:rPr>
        <w:lastRenderedPageBreak/>
        <w:t>Referências Normativas</w:t>
      </w:r>
    </w:p>
    <w:p w14:paraId="582F7E41" w14:textId="7BCCCFD9" w:rsidR="00270AD2" w:rsidRPr="009C79CA" w:rsidRDefault="00270AD2" w:rsidP="00ED1814">
      <w:r w:rsidRPr="009C79CA">
        <w:t xml:space="preserve">Os documentos a seguir são citados no texto de tal forma que seus conteúdos, totais ou parciais, constituem requisitos para </w:t>
      </w:r>
      <w:r w:rsidR="00AE4166" w:rsidRPr="009C79CA">
        <w:t>esta Norma.</w:t>
      </w:r>
      <w:r w:rsidR="00CC20A1" w:rsidRPr="009C79CA">
        <w:t xml:space="preserve"> </w:t>
      </w:r>
      <w:r w:rsidRPr="009C79CA">
        <w:t>Para referências datadas, aplicam-se somente as edições citadas. Para referências não datadas, aplicam-se as edições mais recentes do referido documento (incluindo emendas).</w:t>
      </w:r>
    </w:p>
    <w:p w14:paraId="6ABE7912" w14:textId="26AD8159" w:rsidR="00AE7453" w:rsidRPr="001E2047" w:rsidRDefault="00AE7453" w:rsidP="00B92247">
      <w:pPr>
        <w:jc w:val="left"/>
        <w:rPr>
          <w:i/>
          <w:iCs/>
        </w:rPr>
      </w:pPr>
      <w:r w:rsidRPr="001E2047">
        <w:t>ABNT NBR 5738,</w:t>
      </w:r>
      <w:r w:rsidRPr="001E2047">
        <w:rPr>
          <w:i/>
          <w:iCs/>
        </w:rPr>
        <w:t xml:space="preserve"> </w:t>
      </w:r>
      <w:r w:rsidR="0010043E" w:rsidRPr="001E2047">
        <w:rPr>
          <w:i/>
          <w:iCs/>
        </w:rPr>
        <w:t>Concreto – Procedimento para moldagem e cura de corpos de prova</w:t>
      </w:r>
      <w:r w:rsidR="002908D5" w:rsidRPr="001E2047">
        <w:rPr>
          <w:i/>
          <w:iCs/>
        </w:rPr>
        <w:t xml:space="preserve"> </w:t>
      </w:r>
    </w:p>
    <w:p w14:paraId="2EAAF2A5" w14:textId="54E83177" w:rsidR="006C3FEA" w:rsidRPr="001E2047" w:rsidRDefault="006C3FEA" w:rsidP="00B92247">
      <w:pPr>
        <w:jc w:val="left"/>
        <w:rPr>
          <w:i/>
          <w:iCs/>
        </w:rPr>
      </w:pPr>
      <w:r w:rsidRPr="001E2047">
        <w:t>ABNT NBR 6118,</w:t>
      </w:r>
      <w:r w:rsidRPr="001E2047">
        <w:rPr>
          <w:i/>
          <w:iCs/>
        </w:rPr>
        <w:t xml:space="preserve"> Projeto de estruturas de concreto </w:t>
      </w:r>
      <w:r w:rsidR="00C46F71" w:rsidRPr="001E2047">
        <w:rPr>
          <w:i/>
          <w:iCs/>
        </w:rPr>
        <w:t>–</w:t>
      </w:r>
      <w:r w:rsidRPr="001E2047">
        <w:rPr>
          <w:i/>
          <w:iCs/>
        </w:rPr>
        <w:t xml:space="preserve"> Procedimento</w:t>
      </w:r>
    </w:p>
    <w:p w14:paraId="0CCA9495" w14:textId="3D78F157" w:rsidR="006C3FEA" w:rsidRPr="001E2047" w:rsidRDefault="006C3FEA" w:rsidP="00B92247">
      <w:pPr>
        <w:jc w:val="left"/>
        <w:rPr>
          <w:i/>
          <w:iCs/>
        </w:rPr>
      </w:pPr>
      <w:r w:rsidRPr="001E2047">
        <w:t>ABNT NBR 6136,</w:t>
      </w:r>
      <w:r w:rsidRPr="001E2047">
        <w:rPr>
          <w:i/>
          <w:iCs/>
        </w:rPr>
        <w:t xml:space="preserve"> Blocos vazados de concreto simples para alvenaria </w:t>
      </w:r>
      <w:r w:rsidR="00C46F71" w:rsidRPr="001E2047">
        <w:rPr>
          <w:i/>
          <w:iCs/>
        </w:rPr>
        <w:t>–</w:t>
      </w:r>
      <w:r w:rsidRPr="001E2047">
        <w:rPr>
          <w:i/>
          <w:iCs/>
        </w:rPr>
        <w:t xml:space="preserve"> Requisitos</w:t>
      </w:r>
    </w:p>
    <w:p w14:paraId="3B670CD2" w14:textId="5B0255B1" w:rsidR="00DC1133" w:rsidRPr="001E2047" w:rsidRDefault="00DC1133" w:rsidP="00B92247">
      <w:pPr>
        <w:jc w:val="left"/>
        <w:rPr>
          <w:i/>
          <w:iCs/>
        </w:rPr>
      </w:pPr>
      <w:r w:rsidRPr="0072339E">
        <w:t>ABNT NBR 7200,</w:t>
      </w:r>
      <w:r w:rsidRPr="001E2047">
        <w:rPr>
          <w:i/>
          <w:iCs/>
        </w:rPr>
        <w:t xml:space="preserve"> </w:t>
      </w:r>
      <w:r w:rsidR="00C40403" w:rsidRPr="001E2047">
        <w:rPr>
          <w:i/>
          <w:iCs/>
        </w:rPr>
        <w:t>Execução de revestimento de paredes e tetos de argamassas inorgânicas – Procedimento</w:t>
      </w:r>
    </w:p>
    <w:p w14:paraId="52B2D68B" w14:textId="22ED29A4" w:rsidR="006C3FEA" w:rsidRPr="001E2047" w:rsidRDefault="006C3FEA" w:rsidP="00B92247">
      <w:pPr>
        <w:jc w:val="left"/>
        <w:rPr>
          <w:i/>
          <w:iCs/>
        </w:rPr>
      </w:pPr>
      <w:r w:rsidRPr="001E2047">
        <w:t>ABNT NBR 7480,</w:t>
      </w:r>
      <w:r w:rsidRPr="001E2047">
        <w:rPr>
          <w:i/>
          <w:iCs/>
        </w:rPr>
        <w:t xml:space="preserve"> Aço destinado a armaduras para estruturas de concreto armado </w:t>
      </w:r>
      <w:r w:rsidR="00C46F71" w:rsidRPr="001E2047">
        <w:rPr>
          <w:i/>
          <w:iCs/>
        </w:rPr>
        <w:t>–</w:t>
      </w:r>
      <w:r w:rsidRPr="001E2047">
        <w:rPr>
          <w:i/>
          <w:iCs/>
        </w:rPr>
        <w:t xml:space="preserve"> Especificação</w:t>
      </w:r>
    </w:p>
    <w:p w14:paraId="46FF2023" w14:textId="2096618B" w:rsidR="00B64CBD" w:rsidRPr="001E2047" w:rsidRDefault="00B64CBD" w:rsidP="00B92247">
      <w:pPr>
        <w:jc w:val="left"/>
        <w:rPr>
          <w:i/>
          <w:iCs/>
        </w:rPr>
      </w:pPr>
      <w:r w:rsidRPr="001E2047">
        <w:t>ABNT NBR 13279,</w:t>
      </w:r>
      <w:r w:rsidRPr="001E2047">
        <w:rPr>
          <w:i/>
          <w:iCs/>
        </w:rPr>
        <w:t xml:space="preserve"> </w:t>
      </w:r>
      <w:r w:rsidR="00077445" w:rsidRPr="001E2047">
        <w:rPr>
          <w:i/>
          <w:iCs/>
        </w:rPr>
        <w:t>Argamassa para assentamento e revestimento de paredes e tetos – Determinação da resistência à tração na flexão e à compressão</w:t>
      </w:r>
    </w:p>
    <w:p w14:paraId="0AD128CA" w14:textId="04A2D7D1" w:rsidR="00834DF4" w:rsidRPr="001E2047" w:rsidRDefault="00834DF4" w:rsidP="00B92247">
      <w:pPr>
        <w:jc w:val="left"/>
        <w:rPr>
          <w:i/>
          <w:iCs/>
        </w:rPr>
      </w:pPr>
      <w:r w:rsidRPr="001E2047">
        <w:t>ABNT NBR 13281-2,</w:t>
      </w:r>
      <w:r w:rsidRPr="001E2047">
        <w:rPr>
          <w:i/>
          <w:iCs/>
        </w:rPr>
        <w:t xml:space="preserve"> Argamassas inorgânicas – Requisitos </w:t>
      </w:r>
      <w:r w:rsidR="000C18EE" w:rsidRPr="001E2047">
        <w:rPr>
          <w:i/>
          <w:iCs/>
        </w:rPr>
        <w:t>e métodos de ensaios – Parte 2: Argamassas para assentamento e argamassas para fixação de alvenaria</w:t>
      </w:r>
    </w:p>
    <w:p w14:paraId="46B0CEA4" w14:textId="658AC93C" w:rsidR="006C3FEA" w:rsidRPr="001E2047" w:rsidRDefault="006C3FEA" w:rsidP="00B92247">
      <w:pPr>
        <w:jc w:val="left"/>
        <w:rPr>
          <w:i/>
          <w:iCs/>
        </w:rPr>
      </w:pPr>
      <w:r w:rsidRPr="001E2047">
        <w:t>ABNT NBR 15270</w:t>
      </w:r>
      <w:r w:rsidR="004758DB" w:rsidRPr="001E2047">
        <w:t>-</w:t>
      </w:r>
      <w:r w:rsidR="007123D1" w:rsidRPr="001E2047">
        <w:t>1</w:t>
      </w:r>
      <w:r w:rsidRPr="001E2047">
        <w:rPr>
          <w:i/>
          <w:iCs/>
        </w:rPr>
        <w:t xml:space="preserve">, Componentes cerâmicos </w:t>
      </w:r>
      <w:r w:rsidR="00C46F71" w:rsidRPr="001E2047">
        <w:rPr>
          <w:i/>
          <w:iCs/>
        </w:rPr>
        <w:t>–</w:t>
      </w:r>
      <w:r w:rsidRPr="001E2047">
        <w:rPr>
          <w:i/>
          <w:iCs/>
        </w:rPr>
        <w:t xml:space="preserve"> Blocos e tijolos para alvenaria</w:t>
      </w:r>
      <w:r w:rsidR="00E70F4E" w:rsidRPr="001E2047">
        <w:rPr>
          <w:i/>
          <w:iCs/>
        </w:rPr>
        <w:t xml:space="preserve"> – </w:t>
      </w:r>
      <w:r w:rsidR="0072339E">
        <w:rPr>
          <w:i/>
          <w:iCs/>
        </w:rPr>
        <w:br/>
      </w:r>
      <w:r w:rsidR="00E70F4E" w:rsidRPr="001E2047">
        <w:rPr>
          <w:i/>
          <w:iCs/>
        </w:rPr>
        <w:t>Parte 1: Requisitos</w:t>
      </w:r>
    </w:p>
    <w:p w14:paraId="07F4375C" w14:textId="0DBF14AC" w:rsidR="006C3FEA" w:rsidRPr="001E2047" w:rsidRDefault="006C3FEA" w:rsidP="00B92247">
      <w:pPr>
        <w:jc w:val="left"/>
        <w:rPr>
          <w:i/>
          <w:iCs/>
        </w:rPr>
      </w:pPr>
      <w:r w:rsidRPr="001E2047">
        <w:t>ABNT NBR 15575</w:t>
      </w:r>
      <w:r w:rsidR="00BE7BCA" w:rsidRPr="001E2047">
        <w:t>-2</w:t>
      </w:r>
      <w:r w:rsidRPr="001E2047">
        <w:rPr>
          <w:i/>
          <w:iCs/>
        </w:rPr>
        <w:t>, Edificações habitacionais – Desempenho</w:t>
      </w:r>
      <w:r w:rsidR="008C0F63" w:rsidRPr="001E2047">
        <w:rPr>
          <w:i/>
          <w:iCs/>
        </w:rPr>
        <w:t xml:space="preserve"> – Parte 2: Requisitos para os sistemas estruturais</w:t>
      </w:r>
    </w:p>
    <w:p w14:paraId="72F67E46" w14:textId="7688B50A" w:rsidR="00047CE3" w:rsidRPr="001E2047" w:rsidRDefault="00047CE3" w:rsidP="00B92247">
      <w:pPr>
        <w:jc w:val="left"/>
        <w:rPr>
          <w:i/>
          <w:iCs/>
        </w:rPr>
      </w:pPr>
      <w:r w:rsidRPr="001E2047">
        <w:t>ABNT NBR 15575-4</w:t>
      </w:r>
      <w:r w:rsidRPr="001E2047">
        <w:rPr>
          <w:i/>
          <w:iCs/>
        </w:rPr>
        <w:t>, Edificações habitacionais – Desempenho – Parte 4: Requisitos para os sistemas de vedações</w:t>
      </w:r>
      <w:r w:rsidR="003655A4" w:rsidRPr="001E2047">
        <w:rPr>
          <w:i/>
          <w:iCs/>
        </w:rPr>
        <w:t xml:space="preserve"> verticais internas e externas – SVVIE</w:t>
      </w:r>
    </w:p>
    <w:p w14:paraId="73EFE27C" w14:textId="4DBEDA73" w:rsidR="006C3FEA" w:rsidRPr="001E2047" w:rsidRDefault="006C3FEA" w:rsidP="00B92247">
      <w:pPr>
        <w:jc w:val="left"/>
        <w:rPr>
          <w:i/>
          <w:iCs/>
        </w:rPr>
      </w:pPr>
      <w:r w:rsidRPr="001E2047">
        <w:t>ABNT NBR 16590</w:t>
      </w:r>
      <w:r w:rsidR="005453AB" w:rsidRPr="001E2047">
        <w:t>-1</w:t>
      </w:r>
      <w:r w:rsidRPr="001E2047">
        <w:t>,</w:t>
      </w:r>
      <w:r w:rsidRPr="001E2047">
        <w:rPr>
          <w:i/>
          <w:iCs/>
        </w:rPr>
        <w:t xml:space="preserve"> Composto </w:t>
      </w:r>
      <w:r w:rsidR="00FB738F" w:rsidRPr="001E2047">
        <w:rPr>
          <w:i/>
          <w:iCs/>
        </w:rPr>
        <w:t>p</w:t>
      </w:r>
      <w:r w:rsidRPr="001E2047">
        <w:rPr>
          <w:i/>
          <w:iCs/>
        </w:rPr>
        <w:t xml:space="preserve">olimérico para </w:t>
      </w:r>
      <w:r w:rsidR="00FB738F" w:rsidRPr="001E2047">
        <w:rPr>
          <w:i/>
          <w:iCs/>
        </w:rPr>
        <w:t>a</w:t>
      </w:r>
      <w:r w:rsidRPr="001E2047">
        <w:rPr>
          <w:i/>
          <w:iCs/>
        </w:rPr>
        <w:t>ssentamento</w:t>
      </w:r>
      <w:r w:rsidR="00FB738F" w:rsidRPr="001E2047">
        <w:rPr>
          <w:i/>
          <w:iCs/>
        </w:rPr>
        <w:t xml:space="preserve"> de alvenaria de vedação – Parte 1:</w:t>
      </w:r>
      <w:r w:rsidRPr="001E2047">
        <w:rPr>
          <w:i/>
          <w:iCs/>
        </w:rPr>
        <w:t xml:space="preserve"> Requisitos</w:t>
      </w:r>
    </w:p>
    <w:p w14:paraId="4E6FA11E" w14:textId="37B00CBE" w:rsidR="00FB738F" w:rsidRPr="001E2047" w:rsidRDefault="00FB738F" w:rsidP="00B92247">
      <w:pPr>
        <w:jc w:val="left"/>
        <w:rPr>
          <w:i/>
          <w:iCs/>
        </w:rPr>
      </w:pPr>
      <w:r w:rsidRPr="001E2047">
        <w:t>ABNT NBR 16590-2,</w:t>
      </w:r>
      <w:r w:rsidRPr="001E2047">
        <w:rPr>
          <w:i/>
          <w:iCs/>
        </w:rPr>
        <w:t xml:space="preserve"> Composto polimérico para assentamento de alvenaria de vedação – Parte 2: Métodos de ensaio</w:t>
      </w:r>
    </w:p>
    <w:p w14:paraId="22937BC6" w14:textId="6B852D84" w:rsidR="006C3FEA" w:rsidRPr="001E2047" w:rsidRDefault="006C3FEA" w:rsidP="00B92247">
      <w:pPr>
        <w:jc w:val="left"/>
        <w:rPr>
          <w:i/>
          <w:iCs/>
        </w:rPr>
      </w:pPr>
      <w:r w:rsidRPr="001E2047">
        <w:t>ABNT NBR 16868</w:t>
      </w:r>
      <w:r w:rsidR="0020631B" w:rsidRPr="001E2047">
        <w:t>-1</w:t>
      </w:r>
      <w:r w:rsidRPr="001E2047">
        <w:t>,</w:t>
      </w:r>
      <w:r w:rsidRPr="001E2047">
        <w:rPr>
          <w:i/>
          <w:iCs/>
        </w:rPr>
        <w:t xml:space="preserve"> Alvenaria estrutural</w:t>
      </w:r>
      <w:r w:rsidR="00587B56" w:rsidRPr="001E2047">
        <w:rPr>
          <w:i/>
          <w:iCs/>
        </w:rPr>
        <w:t xml:space="preserve"> – Parte 1: Projeto</w:t>
      </w:r>
    </w:p>
    <w:p w14:paraId="4037A781" w14:textId="2B956261" w:rsidR="009821AE" w:rsidRPr="001E2047" w:rsidRDefault="009821AE" w:rsidP="00B92247">
      <w:pPr>
        <w:jc w:val="left"/>
        <w:rPr>
          <w:i/>
          <w:iCs/>
        </w:rPr>
      </w:pPr>
      <w:r w:rsidRPr="001E2047">
        <w:t>ABNT NBR 16868-2</w:t>
      </w:r>
      <w:r w:rsidRPr="001E2047">
        <w:rPr>
          <w:i/>
          <w:iCs/>
        </w:rPr>
        <w:t>, Alvenaria estrutural – Parte 2: Execução e controle de obras</w:t>
      </w:r>
    </w:p>
    <w:p w14:paraId="1FE0020C" w14:textId="5FBDDDF4" w:rsidR="00587B56" w:rsidRPr="001E2047" w:rsidRDefault="00587B56" w:rsidP="00B92247">
      <w:pPr>
        <w:jc w:val="left"/>
        <w:rPr>
          <w:i/>
          <w:iCs/>
        </w:rPr>
      </w:pPr>
      <w:r w:rsidRPr="001E2047">
        <w:t>ABNT NBR 16868-</w:t>
      </w:r>
      <w:r w:rsidR="0016626B" w:rsidRPr="001E2047">
        <w:t>3</w:t>
      </w:r>
      <w:r w:rsidRPr="001E2047">
        <w:t>,</w:t>
      </w:r>
      <w:r w:rsidRPr="001E2047">
        <w:rPr>
          <w:i/>
          <w:iCs/>
        </w:rPr>
        <w:t xml:space="preserve"> Alvenaria estrutural – Parte </w:t>
      </w:r>
      <w:r w:rsidR="0016626B" w:rsidRPr="001E2047">
        <w:rPr>
          <w:i/>
          <w:iCs/>
        </w:rPr>
        <w:t>3</w:t>
      </w:r>
      <w:r w:rsidRPr="001E2047">
        <w:rPr>
          <w:i/>
          <w:iCs/>
        </w:rPr>
        <w:t xml:space="preserve">: </w:t>
      </w:r>
      <w:r w:rsidR="0016626B" w:rsidRPr="001E2047">
        <w:rPr>
          <w:i/>
          <w:iCs/>
        </w:rPr>
        <w:t>Métodos de ensaio</w:t>
      </w:r>
    </w:p>
    <w:p w14:paraId="54D0B40B" w14:textId="4287CF4B" w:rsidR="00A74C7C" w:rsidRDefault="006C3FEA" w:rsidP="00B92247">
      <w:pPr>
        <w:jc w:val="left"/>
        <w:rPr>
          <w:i/>
          <w:iCs/>
        </w:rPr>
      </w:pPr>
      <w:r w:rsidRPr="001E2047">
        <w:t>ABNT NBR 17211</w:t>
      </w:r>
      <w:r w:rsidR="00D979CA" w:rsidRPr="001E2047">
        <w:t>-1</w:t>
      </w:r>
      <w:r w:rsidRPr="001E2047">
        <w:t>,</w:t>
      </w:r>
      <w:r w:rsidRPr="001E2047">
        <w:rPr>
          <w:i/>
          <w:iCs/>
        </w:rPr>
        <w:t xml:space="preserve"> </w:t>
      </w:r>
      <w:proofErr w:type="spellStart"/>
      <w:r w:rsidRPr="001E2047">
        <w:rPr>
          <w:i/>
          <w:iCs/>
        </w:rPr>
        <w:t>Grautes</w:t>
      </w:r>
      <w:proofErr w:type="spellEnd"/>
      <w:r w:rsidRPr="001E2047">
        <w:rPr>
          <w:i/>
          <w:iCs/>
        </w:rPr>
        <w:t xml:space="preserve"> cimentícios</w:t>
      </w:r>
      <w:r w:rsidR="00D979CA" w:rsidRPr="001E2047">
        <w:rPr>
          <w:i/>
          <w:iCs/>
        </w:rPr>
        <w:t xml:space="preserve"> – Parte 1: </w:t>
      </w:r>
      <w:r w:rsidR="00B92247" w:rsidRPr="001E2047">
        <w:rPr>
          <w:i/>
          <w:iCs/>
        </w:rPr>
        <w:t>Requisitos para classificação</w:t>
      </w:r>
    </w:p>
    <w:p w14:paraId="6F283A93" w14:textId="77777777" w:rsidR="00A74C7C" w:rsidRDefault="00A74C7C">
      <w:pPr>
        <w:spacing w:line="240" w:lineRule="auto"/>
        <w:jc w:val="left"/>
        <w:rPr>
          <w:i/>
          <w:iCs/>
        </w:rPr>
      </w:pPr>
      <w:r>
        <w:rPr>
          <w:i/>
          <w:iCs/>
        </w:rPr>
        <w:br w:type="page"/>
      </w:r>
    </w:p>
    <w:p w14:paraId="3F1881B5" w14:textId="0396BD48" w:rsidR="00270AD2" w:rsidRPr="00D84582" w:rsidRDefault="00270AD2" w:rsidP="00270AD2">
      <w:pPr>
        <w:pStyle w:val="Ttulo1"/>
        <w:rPr>
          <w:sz w:val="26"/>
          <w:szCs w:val="26"/>
        </w:rPr>
      </w:pPr>
      <w:r w:rsidRPr="00D84582">
        <w:rPr>
          <w:sz w:val="26"/>
          <w:szCs w:val="26"/>
        </w:rPr>
        <w:lastRenderedPageBreak/>
        <w:t>Termos e Definições</w:t>
      </w:r>
    </w:p>
    <w:p w14:paraId="54419A07" w14:textId="3796CE04" w:rsidR="002F48B2" w:rsidRDefault="00270AD2" w:rsidP="008077F6">
      <w:pPr>
        <w:spacing w:after="0"/>
      </w:pPr>
      <w:r w:rsidRPr="007F3836">
        <w:t>Para os efeitos deste documento aplicam-se os termos e definições da</w:t>
      </w:r>
      <w:r w:rsidR="00A74C7C">
        <w:br/>
      </w:r>
      <w:r w:rsidRPr="007F3836">
        <w:t xml:space="preserve">ABNT NBR 16868-1, além </w:t>
      </w:r>
      <w:r w:rsidR="00151E18">
        <w:t xml:space="preserve">dos </w:t>
      </w:r>
      <w:r w:rsidR="003C69B0">
        <w:t>indicados a seguir</w:t>
      </w:r>
      <w:r w:rsidR="000A493C">
        <w:t>.</w:t>
      </w:r>
    </w:p>
    <w:p w14:paraId="09C145EE" w14:textId="77777777" w:rsidR="000A155D" w:rsidRDefault="000A155D" w:rsidP="00724194">
      <w:pPr>
        <w:pStyle w:val="Ttulo2"/>
        <w:spacing w:before="242" w:after="0"/>
        <w:ind w:left="431" w:hanging="431"/>
      </w:pPr>
    </w:p>
    <w:p w14:paraId="73BED54F" w14:textId="1B7092EB" w:rsidR="00270AD2" w:rsidRPr="007F3836" w:rsidRDefault="000A155D" w:rsidP="000A155D">
      <w:pPr>
        <w:pStyle w:val="Ttulo2"/>
        <w:numPr>
          <w:ilvl w:val="0"/>
          <w:numId w:val="0"/>
        </w:numPr>
      </w:pPr>
      <w:r>
        <w:t>a</w:t>
      </w:r>
      <w:r w:rsidR="00270AD2" w:rsidRPr="007F3836">
        <w:t xml:space="preserve">lvenaria </w:t>
      </w:r>
      <w:r w:rsidR="00226C92">
        <w:t>de</w:t>
      </w:r>
      <w:r w:rsidR="00270AD2" w:rsidRPr="007F3836">
        <w:t xml:space="preserve"> </w:t>
      </w:r>
      <w:r w:rsidR="00226C92">
        <w:t>junta fina</w:t>
      </w:r>
      <w:r w:rsidR="002A7E5F">
        <w:t xml:space="preserve"> de composto polimérico</w:t>
      </w:r>
    </w:p>
    <w:p w14:paraId="7B0A1E93" w14:textId="154B6EB8" w:rsidR="00270AD2" w:rsidRPr="007F3836" w:rsidRDefault="000A155D" w:rsidP="008077F6">
      <w:pPr>
        <w:spacing w:after="0"/>
      </w:pPr>
      <w:r>
        <w:t>a</w:t>
      </w:r>
      <w:r w:rsidR="00270AD2" w:rsidRPr="007F3836">
        <w:t xml:space="preserve">lvenaria assentada com composto polimérico não cimentício, cuja junta horizontal </w:t>
      </w:r>
      <w:r w:rsidR="00054DF6">
        <w:t xml:space="preserve">e junta vertical </w:t>
      </w:r>
      <w:r w:rsidR="00270AD2" w:rsidRPr="007F3836">
        <w:t xml:space="preserve">é maior que 0,5 mm e menor que </w:t>
      </w:r>
      <w:r w:rsidR="00822715">
        <w:t>3</w:t>
      </w:r>
      <w:r w:rsidR="00270AD2" w:rsidRPr="007F3836">
        <w:t>,0 mm, constituindo juntas finas de assentamento</w:t>
      </w:r>
      <w:r w:rsidR="00054DF6">
        <w:t>, com dois</w:t>
      </w:r>
      <w:r w:rsidR="00B02F37">
        <w:t xml:space="preserve"> ou mais</w:t>
      </w:r>
      <w:r w:rsidR="00054DF6">
        <w:t xml:space="preserve"> cordões</w:t>
      </w:r>
      <w:r w:rsidR="001F3722">
        <w:t xml:space="preserve"> </w:t>
      </w:r>
      <w:r w:rsidR="002A7E5F">
        <w:t>de assentamento horizontais e verticais</w:t>
      </w:r>
      <w:r w:rsidR="00054DF6">
        <w:t>.</w:t>
      </w:r>
    </w:p>
    <w:p w14:paraId="5E2EAA72" w14:textId="77777777" w:rsidR="008077F6" w:rsidRDefault="008077F6" w:rsidP="008077F6">
      <w:pPr>
        <w:pStyle w:val="Ttulo2"/>
        <w:spacing w:before="242" w:after="0"/>
        <w:ind w:left="431" w:hanging="431"/>
      </w:pPr>
    </w:p>
    <w:p w14:paraId="4E43D660" w14:textId="2457B5D4" w:rsidR="00270AD2" w:rsidRPr="007F3836" w:rsidRDefault="008077F6" w:rsidP="008077F6">
      <w:pPr>
        <w:pStyle w:val="Ttulo2"/>
        <w:numPr>
          <w:ilvl w:val="0"/>
          <w:numId w:val="0"/>
        </w:numPr>
        <w:spacing w:after="0"/>
      </w:pPr>
      <w:r>
        <w:t>c</w:t>
      </w:r>
      <w:r w:rsidR="00270AD2" w:rsidRPr="007F3836">
        <w:t>omposto polimérico não cimentício</w:t>
      </w:r>
    </w:p>
    <w:p w14:paraId="28D0670F" w14:textId="5BBB62A9" w:rsidR="004423BE" w:rsidRDefault="00270AD2" w:rsidP="008077F6">
      <w:pPr>
        <w:spacing w:after="0"/>
      </w:pPr>
      <w:r w:rsidRPr="005178D8">
        <w:t xml:space="preserve">Mistura homogênea e industrializada composta por </w:t>
      </w:r>
      <w:r w:rsidR="00C85A0C" w:rsidRPr="005178D8">
        <w:t>agregado(s) miúdo(s); carga mineral, água e blenda de resinas poliméricas</w:t>
      </w:r>
      <w:r w:rsidR="00483499">
        <w:t xml:space="preserve"> compatíveis com um padrão espectroscópico de resina acrílica </w:t>
      </w:r>
      <w:proofErr w:type="spellStart"/>
      <w:r w:rsidR="00483499">
        <w:t>estirenada</w:t>
      </w:r>
      <w:proofErr w:type="spellEnd"/>
      <w:r w:rsidR="00483499">
        <w:t>.</w:t>
      </w:r>
    </w:p>
    <w:p w14:paraId="446EB058" w14:textId="77777777" w:rsidR="008077F6" w:rsidRDefault="008077F6" w:rsidP="008077F6">
      <w:pPr>
        <w:pStyle w:val="Ttulo2"/>
        <w:spacing w:before="242" w:after="0"/>
        <w:ind w:left="431" w:hanging="431"/>
      </w:pPr>
    </w:p>
    <w:p w14:paraId="1DCFF489" w14:textId="04550709" w:rsidR="0052420D" w:rsidRPr="008E6260" w:rsidRDefault="008077F6" w:rsidP="008077F6">
      <w:pPr>
        <w:pStyle w:val="Ttulo2"/>
        <w:numPr>
          <w:ilvl w:val="0"/>
          <w:numId w:val="0"/>
        </w:numPr>
        <w:spacing w:after="0"/>
      </w:pPr>
      <w:r>
        <w:t>j</w:t>
      </w:r>
      <w:r w:rsidR="00571B54" w:rsidRPr="008E6260">
        <w:t>unta horizontal de regularização</w:t>
      </w:r>
    </w:p>
    <w:p w14:paraId="72D92B08" w14:textId="352495C7" w:rsidR="0052420D" w:rsidRDefault="0052420D" w:rsidP="008077F6">
      <w:pPr>
        <w:spacing w:after="0"/>
      </w:pPr>
      <w:r w:rsidRPr="008E6260">
        <w:t>Junta de assentamento</w:t>
      </w:r>
      <w:r w:rsidR="00B02F37" w:rsidRPr="00B02F37">
        <w:t xml:space="preserve"> </w:t>
      </w:r>
      <w:r w:rsidR="00B02F37" w:rsidRPr="008E6260">
        <w:t>intermediária</w:t>
      </w:r>
      <w:r w:rsidR="00F23638">
        <w:t xml:space="preserve"> </w:t>
      </w:r>
      <w:r w:rsidR="00D06C59" w:rsidRPr="008E6260">
        <w:t>executada com argamassa cimentícia</w:t>
      </w:r>
      <w:r w:rsidR="007F583E" w:rsidRPr="008E6260">
        <w:t xml:space="preserve"> para </w:t>
      </w:r>
      <w:r w:rsidR="0030341D">
        <w:t xml:space="preserve">nivelamento </w:t>
      </w:r>
      <w:r w:rsidR="00762FF0">
        <w:t xml:space="preserve">horizontal </w:t>
      </w:r>
      <w:r w:rsidR="005B61DA">
        <w:t>d</w:t>
      </w:r>
      <w:r w:rsidR="009E7637">
        <w:t>a</w:t>
      </w:r>
      <w:r w:rsidR="005B61DA">
        <w:t xml:space="preserve"> fiada da </w:t>
      </w:r>
      <w:r w:rsidR="007277F8" w:rsidRPr="008E6260">
        <w:t>alvenaria</w:t>
      </w:r>
      <w:r w:rsidR="008E6260" w:rsidRPr="008E6260">
        <w:t>.</w:t>
      </w:r>
    </w:p>
    <w:p w14:paraId="313F2FD7" w14:textId="77777777" w:rsidR="008077F6" w:rsidRDefault="008077F6" w:rsidP="008077F6">
      <w:pPr>
        <w:pStyle w:val="Ttulo2"/>
        <w:spacing w:before="242" w:after="0"/>
        <w:ind w:left="431" w:hanging="431"/>
      </w:pPr>
    </w:p>
    <w:p w14:paraId="3F9B86D2" w14:textId="3FA69730" w:rsidR="00EE6C34" w:rsidRPr="00BB0932" w:rsidRDefault="008077F6" w:rsidP="008077F6">
      <w:pPr>
        <w:pStyle w:val="Ttulo2"/>
        <w:numPr>
          <w:ilvl w:val="0"/>
          <w:numId w:val="0"/>
        </w:numPr>
        <w:spacing w:after="0"/>
      </w:pPr>
      <w:bookmarkStart w:id="10" w:name="_Toc166653501"/>
      <w:r>
        <w:t>g</w:t>
      </w:r>
      <w:r w:rsidR="00EE6C34" w:rsidRPr="00BB0932">
        <w:t>raute</w:t>
      </w:r>
      <w:bookmarkEnd w:id="10"/>
      <w:r w:rsidR="00EE6C34">
        <w:t xml:space="preserve"> </w:t>
      </w:r>
    </w:p>
    <w:p w14:paraId="22F070D1" w14:textId="4F960537" w:rsidR="006A4137" w:rsidRDefault="00EB523F" w:rsidP="008077F6">
      <w:pPr>
        <w:pStyle w:val="Pargrafo11pt"/>
        <w:spacing w:after="0"/>
        <w:rPr>
          <w:rFonts w:cs="Arial"/>
          <w:szCs w:val="22"/>
        </w:rPr>
      </w:pPr>
      <w:r>
        <w:rPr>
          <w:rFonts w:cs="Arial"/>
          <w:szCs w:val="22"/>
        </w:rPr>
        <w:t>M</w:t>
      </w:r>
      <w:r w:rsidR="00EE6C34" w:rsidRPr="00BB0932">
        <w:rPr>
          <w:rFonts w:cs="Arial"/>
          <w:szCs w:val="22"/>
        </w:rPr>
        <w:t>aterial cimentício fluido</w:t>
      </w:r>
      <w:r w:rsidR="00EE6C34">
        <w:rPr>
          <w:rFonts w:cs="Arial"/>
          <w:szCs w:val="22"/>
        </w:rPr>
        <w:t>,</w:t>
      </w:r>
      <w:r w:rsidR="00EE6C34" w:rsidRPr="00BB0932">
        <w:rPr>
          <w:rFonts w:cs="Arial"/>
          <w:szCs w:val="22"/>
        </w:rPr>
        <w:t xml:space="preserve"> utilizado para preenchimento de espaços vazios da alvenaria, com a finalidade de solidarizar armaduras à alvenaria ou aumentar </w:t>
      </w:r>
      <w:r w:rsidR="00EE6C34">
        <w:rPr>
          <w:rFonts w:cs="Arial"/>
          <w:szCs w:val="22"/>
        </w:rPr>
        <w:t xml:space="preserve">a </w:t>
      </w:r>
      <w:r w:rsidR="00EE6C34" w:rsidRPr="00BB0932">
        <w:rPr>
          <w:rFonts w:cs="Arial"/>
          <w:szCs w:val="22"/>
        </w:rPr>
        <w:t>sua capacidade resistente</w:t>
      </w:r>
      <w:r w:rsidR="002F2CB7">
        <w:rPr>
          <w:rFonts w:cs="Arial"/>
          <w:szCs w:val="22"/>
        </w:rPr>
        <w:t>.</w:t>
      </w:r>
      <w:r w:rsidR="0093188B">
        <w:rPr>
          <w:rFonts w:cs="Arial"/>
          <w:szCs w:val="22"/>
        </w:rPr>
        <w:t xml:space="preserve"> </w:t>
      </w:r>
    </w:p>
    <w:p w14:paraId="4C8FFFE7" w14:textId="79922BC0" w:rsidR="00EE6C34" w:rsidRDefault="006A4137" w:rsidP="008077F6">
      <w:pPr>
        <w:pStyle w:val="Pargrafo11pt"/>
        <w:spacing w:after="0"/>
        <w:rPr>
          <w:rFonts w:cs="Arial"/>
          <w:szCs w:val="22"/>
        </w:rPr>
      </w:pPr>
      <w:r>
        <w:rPr>
          <w:rFonts w:cs="Arial"/>
          <w:szCs w:val="22"/>
        </w:rPr>
        <w:t xml:space="preserve">Nota: </w:t>
      </w:r>
      <w:r w:rsidR="0093188B">
        <w:rPr>
          <w:rFonts w:cs="Arial"/>
          <w:szCs w:val="22"/>
        </w:rPr>
        <w:t xml:space="preserve">Esse termo não </w:t>
      </w:r>
      <w:r>
        <w:rPr>
          <w:rFonts w:cs="Arial"/>
          <w:szCs w:val="22"/>
        </w:rPr>
        <w:t xml:space="preserve">deve ser confundido com o </w:t>
      </w:r>
      <w:r w:rsidR="00CE01C0">
        <w:rPr>
          <w:rFonts w:cs="Arial"/>
          <w:szCs w:val="22"/>
        </w:rPr>
        <w:t>que consta n</w:t>
      </w:r>
      <w:r>
        <w:rPr>
          <w:rFonts w:cs="Arial"/>
          <w:szCs w:val="22"/>
        </w:rPr>
        <w:t>a</w:t>
      </w:r>
      <w:r w:rsidR="0093188B">
        <w:rPr>
          <w:rFonts w:cs="Arial"/>
          <w:szCs w:val="22"/>
        </w:rPr>
        <w:t xml:space="preserve"> </w:t>
      </w:r>
      <w:r w:rsidR="00EF6292">
        <w:rPr>
          <w:rFonts w:cs="Arial"/>
          <w:szCs w:val="22"/>
        </w:rPr>
        <w:t>ABNT NBR 17211</w:t>
      </w:r>
      <w:r w:rsidR="00957BE9">
        <w:rPr>
          <w:rFonts w:cs="Arial"/>
          <w:szCs w:val="22"/>
        </w:rPr>
        <w:t>-1</w:t>
      </w:r>
      <w:r w:rsidR="00EF6292">
        <w:rPr>
          <w:rFonts w:cs="Arial"/>
          <w:szCs w:val="22"/>
        </w:rPr>
        <w:t>.</w:t>
      </w:r>
      <w:r w:rsidR="00B915A3">
        <w:rPr>
          <w:rFonts w:cs="Arial"/>
          <w:szCs w:val="22"/>
        </w:rPr>
        <w:t xml:space="preserve"> </w:t>
      </w:r>
    </w:p>
    <w:p w14:paraId="7F67D92F" w14:textId="77777777" w:rsidR="00724194" w:rsidRDefault="00724194" w:rsidP="008077F6">
      <w:pPr>
        <w:pStyle w:val="Pargrafo11pt"/>
        <w:spacing w:after="0"/>
        <w:rPr>
          <w:rFonts w:cs="Arial"/>
          <w:szCs w:val="22"/>
        </w:rPr>
      </w:pPr>
    </w:p>
    <w:p w14:paraId="66C274A6" w14:textId="77777777" w:rsidR="00457C37" w:rsidRPr="00BB0932" w:rsidRDefault="00457C37" w:rsidP="00457C37">
      <w:pPr>
        <w:pStyle w:val="Pargrafo11pt"/>
        <w:spacing w:after="0"/>
        <w:rPr>
          <w:rFonts w:cs="Arial"/>
          <w:szCs w:val="22"/>
        </w:rPr>
      </w:pPr>
    </w:p>
    <w:p w14:paraId="74CE4F8A" w14:textId="2304DF98" w:rsidR="00270AD2" w:rsidRPr="00D84582" w:rsidRDefault="00270AD2" w:rsidP="00270AD2">
      <w:pPr>
        <w:pStyle w:val="Ttulo1"/>
        <w:rPr>
          <w:sz w:val="26"/>
          <w:szCs w:val="26"/>
        </w:rPr>
      </w:pPr>
      <w:r w:rsidRPr="00D84582">
        <w:rPr>
          <w:sz w:val="26"/>
          <w:szCs w:val="26"/>
        </w:rPr>
        <w:t>Símbolos e Abreviaturas</w:t>
      </w:r>
    </w:p>
    <w:p w14:paraId="0D0291EE" w14:textId="5362347D" w:rsidR="00270AD2" w:rsidRPr="0030175D" w:rsidRDefault="00270AD2" w:rsidP="00270AD2">
      <w:pPr>
        <w:rPr>
          <w:spacing w:val="-2"/>
          <w:w w:val="105"/>
        </w:rPr>
      </w:pPr>
      <w:r w:rsidRPr="0030175D">
        <w:rPr>
          <w:w w:val="105"/>
        </w:rPr>
        <w:t>Para</w:t>
      </w:r>
      <w:r w:rsidRPr="0030175D">
        <w:rPr>
          <w:spacing w:val="9"/>
          <w:w w:val="105"/>
        </w:rPr>
        <w:t xml:space="preserve"> </w:t>
      </w:r>
      <w:r w:rsidRPr="0030175D">
        <w:rPr>
          <w:w w:val="105"/>
        </w:rPr>
        <w:t>os</w:t>
      </w:r>
      <w:r w:rsidRPr="0030175D">
        <w:rPr>
          <w:spacing w:val="6"/>
          <w:w w:val="105"/>
        </w:rPr>
        <w:t xml:space="preserve"> </w:t>
      </w:r>
      <w:r w:rsidRPr="0030175D">
        <w:rPr>
          <w:w w:val="105"/>
        </w:rPr>
        <w:t>efeitos</w:t>
      </w:r>
      <w:r w:rsidRPr="0030175D">
        <w:rPr>
          <w:spacing w:val="-19"/>
          <w:w w:val="105"/>
        </w:rPr>
        <w:t xml:space="preserve"> </w:t>
      </w:r>
      <w:r w:rsidRPr="0030175D">
        <w:rPr>
          <w:w w:val="105"/>
        </w:rPr>
        <w:t>deste</w:t>
      </w:r>
      <w:r w:rsidRPr="0030175D">
        <w:rPr>
          <w:spacing w:val="-8"/>
          <w:w w:val="105"/>
        </w:rPr>
        <w:t xml:space="preserve"> </w:t>
      </w:r>
      <w:r w:rsidRPr="0030175D">
        <w:rPr>
          <w:w w:val="105"/>
        </w:rPr>
        <w:t>documento,</w:t>
      </w:r>
      <w:r w:rsidRPr="0030175D">
        <w:rPr>
          <w:spacing w:val="-12"/>
          <w:w w:val="105"/>
        </w:rPr>
        <w:t xml:space="preserve"> </w:t>
      </w:r>
      <w:r w:rsidRPr="0030175D">
        <w:rPr>
          <w:w w:val="105"/>
        </w:rPr>
        <w:t>aplicam-se</w:t>
      </w:r>
      <w:r w:rsidRPr="0030175D">
        <w:rPr>
          <w:spacing w:val="-4"/>
          <w:w w:val="105"/>
        </w:rPr>
        <w:t xml:space="preserve"> </w:t>
      </w:r>
      <w:r w:rsidRPr="0030175D">
        <w:rPr>
          <w:w w:val="105"/>
        </w:rPr>
        <w:t>os</w:t>
      </w:r>
      <w:r w:rsidRPr="0030175D">
        <w:rPr>
          <w:spacing w:val="3"/>
          <w:w w:val="105"/>
        </w:rPr>
        <w:t xml:space="preserve"> </w:t>
      </w:r>
      <w:r w:rsidRPr="0030175D">
        <w:rPr>
          <w:w w:val="105"/>
        </w:rPr>
        <w:t>seguintes</w:t>
      </w:r>
      <w:r w:rsidRPr="0030175D">
        <w:rPr>
          <w:spacing w:val="-12"/>
          <w:w w:val="105"/>
        </w:rPr>
        <w:t xml:space="preserve"> </w:t>
      </w:r>
      <w:r w:rsidRPr="0030175D">
        <w:rPr>
          <w:w w:val="105"/>
        </w:rPr>
        <w:t>símbolos</w:t>
      </w:r>
      <w:r w:rsidRPr="0030175D">
        <w:rPr>
          <w:spacing w:val="-3"/>
          <w:w w:val="105"/>
        </w:rPr>
        <w:t xml:space="preserve"> </w:t>
      </w:r>
      <w:r w:rsidRPr="0030175D">
        <w:rPr>
          <w:w w:val="105"/>
        </w:rPr>
        <w:t>e</w:t>
      </w:r>
      <w:r w:rsidRPr="0030175D">
        <w:rPr>
          <w:spacing w:val="-7"/>
          <w:w w:val="105"/>
        </w:rPr>
        <w:t xml:space="preserve"> </w:t>
      </w:r>
      <w:r w:rsidRPr="0030175D">
        <w:rPr>
          <w:spacing w:val="-2"/>
          <w:w w:val="105"/>
        </w:rPr>
        <w:t>abreviaturas:</w:t>
      </w:r>
    </w:p>
    <w:p w14:paraId="798476C6" w14:textId="5031C60B" w:rsidR="00270AD2" w:rsidRPr="0030175D" w:rsidRDefault="00270AD2" w:rsidP="00D11842">
      <w:pPr>
        <w:pStyle w:val="Ttulo2"/>
        <w:ind w:left="431" w:hanging="431"/>
        <w:rPr>
          <w:sz w:val="24"/>
          <w:szCs w:val="24"/>
        </w:rPr>
      </w:pPr>
      <w:r w:rsidRPr="0030175D">
        <w:rPr>
          <w:sz w:val="24"/>
          <w:szCs w:val="24"/>
        </w:rPr>
        <w:t>Letras minúsculas</w:t>
      </w:r>
    </w:p>
    <w:p w14:paraId="25E051AF" w14:textId="10F42572" w:rsidR="002340C6" w:rsidRPr="0030175D" w:rsidRDefault="002340C6" w:rsidP="002340C6">
      <w:pPr>
        <w:rPr>
          <w:i/>
          <w:iCs/>
        </w:rPr>
      </w:pPr>
      <w:r w:rsidRPr="0030175D">
        <w:rPr>
          <w:i/>
          <w:iCs/>
        </w:rPr>
        <w:t>b</w:t>
      </w:r>
      <w:r w:rsidRPr="0030175D">
        <w:t xml:space="preserve">    </w:t>
      </w:r>
      <w:r w:rsidR="0030175D">
        <w:t xml:space="preserve"> </w:t>
      </w:r>
      <w:r w:rsidRPr="0030175D">
        <w:t>largura</w:t>
      </w:r>
      <w:r w:rsidRPr="0030175D">
        <w:rPr>
          <w:i/>
          <w:iCs/>
        </w:rPr>
        <w:t xml:space="preserve">   </w:t>
      </w:r>
    </w:p>
    <w:p w14:paraId="2B707C7F" w14:textId="26F33813" w:rsidR="006F4106" w:rsidRDefault="006F4106" w:rsidP="006F4106">
      <w:proofErr w:type="spellStart"/>
      <w:r w:rsidRPr="0030175D">
        <w:rPr>
          <w:i/>
          <w:iCs/>
        </w:rPr>
        <w:t>b</w:t>
      </w:r>
      <w:r w:rsidRPr="0030175D">
        <w:rPr>
          <w:i/>
          <w:iCs/>
          <w:vertAlign w:val="subscript"/>
        </w:rPr>
        <w:t>f</w:t>
      </w:r>
      <w:proofErr w:type="spellEnd"/>
      <w:r w:rsidRPr="0030175D">
        <w:rPr>
          <w:i/>
          <w:iCs/>
          <w:vertAlign w:val="subscript"/>
        </w:rPr>
        <w:t xml:space="preserve"> </w:t>
      </w:r>
      <w:r w:rsidRPr="0030175D">
        <w:rPr>
          <w:vertAlign w:val="subscript"/>
        </w:rPr>
        <w:t xml:space="preserve">      </w:t>
      </w:r>
      <w:r w:rsidRPr="0030175D">
        <w:t>comprimento efetivo d</w:t>
      </w:r>
      <w:r w:rsidR="002340C6" w:rsidRPr="0030175D">
        <w:t>o</w:t>
      </w:r>
      <w:r w:rsidRPr="0030175D">
        <w:t xml:space="preserve"> flange</w:t>
      </w:r>
    </w:p>
    <w:p w14:paraId="7626A2DE" w14:textId="5D455D74" w:rsidR="004172CC" w:rsidRDefault="004172CC" w:rsidP="004172CC">
      <w:r w:rsidRPr="00CA3E4E">
        <w:rPr>
          <w:i/>
          <w:iCs/>
        </w:rPr>
        <w:t>f</w:t>
      </w:r>
      <w:r w:rsidRPr="00CA3E4E">
        <w:rPr>
          <w:i/>
          <w:iCs/>
          <w:vertAlign w:val="subscript"/>
        </w:rPr>
        <w:t>bk</w:t>
      </w:r>
      <w:r>
        <w:rPr>
          <w:i/>
          <w:iCs/>
          <w:vertAlign w:val="subscript"/>
        </w:rPr>
        <w:t xml:space="preserve">     </w:t>
      </w:r>
      <w:r w:rsidR="00375D16">
        <w:rPr>
          <w:i/>
          <w:iCs/>
          <w:vertAlign w:val="subscript"/>
        </w:rPr>
        <w:t xml:space="preserve"> </w:t>
      </w:r>
      <w:r w:rsidRPr="001E5D6B">
        <w:t xml:space="preserve">resistência característica </w:t>
      </w:r>
      <w:r w:rsidR="0024680C">
        <w:t>à</w:t>
      </w:r>
      <w:r w:rsidRPr="001E5D6B">
        <w:t xml:space="preserve"> compressão simples </w:t>
      </w:r>
      <w:r w:rsidR="0024680C">
        <w:t>de</w:t>
      </w:r>
      <w:r w:rsidRPr="001E5D6B">
        <w:t xml:space="preserve"> </w:t>
      </w:r>
      <w:r>
        <w:t>bloco</w:t>
      </w:r>
    </w:p>
    <w:p w14:paraId="71A0C5CB" w14:textId="3C37CE77" w:rsidR="00D61C5B" w:rsidRDefault="00D61C5B" w:rsidP="004172CC">
      <w:proofErr w:type="spellStart"/>
      <w:r w:rsidRPr="0030175D">
        <w:rPr>
          <w:i/>
          <w:iCs/>
        </w:rPr>
        <w:t>f</w:t>
      </w:r>
      <w:r w:rsidRPr="0030175D">
        <w:rPr>
          <w:i/>
          <w:iCs/>
          <w:vertAlign w:val="subscript"/>
        </w:rPr>
        <w:t>d</w:t>
      </w:r>
      <w:proofErr w:type="spellEnd"/>
      <w:r w:rsidRPr="0030175D">
        <w:rPr>
          <w:i/>
          <w:iCs/>
          <w:vertAlign w:val="subscript"/>
        </w:rPr>
        <w:t xml:space="preserve">        </w:t>
      </w:r>
      <w:r w:rsidRPr="0030175D">
        <w:t xml:space="preserve">resistência </w:t>
      </w:r>
      <w:r w:rsidR="00C127AF">
        <w:t xml:space="preserve">de projeto </w:t>
      </w:r>
      <w:r w:rsidRPr="0030175D">
        <w:t>à compressão</w:t>
      </w:r>
      <w:r w:rsidR="002340C6" w:rsidRPr="0030175D">
        <w:t xml:space="preserve"> simples de cálculo de alvenaria</w:t>
      </w:r>
    </w:p>
    <w:p w14:paraId="2AE4A74A" w14:textId="7EE4165B" w:rsidR="00375D16" w:rsidRDefault="00375D16" w:rsidP="00375D16">
      <w:proofErr w:type="spellStart"/>
      <w:r w:rsidRPr="00D11842">
        <w:rPr>
          <w:i/>
          <w:iCs/>
        </w:rPr>
        <w:t>f</w:t>
      </w:r>
      <w:r w:rsidRPr="00D11842">
        <w:rPr>
          <w:i/>
          <w:iCs/>
          <w:vertAlign w:val="subscript"/>
        </w:rPr>
        <w:t>gk</w:t>
      </w:r>
      <w:proofErr w:type="spellEnd"/>
      <w:r>
        <w:rPr>
          <w:i/>
          <w:iCs/>
          <w:vertAlign w:val="subscript"/>
        </w:rPr>
        <w:t xml:space="preserve">      </w:t>
      </w:r>
      <w:r w:rsidRPr="00D11842">
        <w:t xml:space="preserve">resistência característica </w:t>
      </w:r>
      <w:r>
        <w:t>à compressão de graute</w:t>
      </w:r>
    </w:p>
    <w:p w14:paraId="41AC1436" w14:textId="77777777" w:rsidR="00375D16" w:rsidRDefault="00375D16" w:rsidP="00375D16">
      <w:proofErr w:type="spellStart"/>
      <w:r w:rsidRPr="0030175D">
        <w:rPr>
          <w:i/>
          <w:iCs/>
        </w:rPr>
        <w:t>f</w:t>
      </w:r>
      <w:r w:rsidRPr="0030175D">
        <w:rPr>
          <w:i/>
          <w:iCs/>
          <w:vertAlign w:val="subscript"/>
        </w:rPr>
        <w:t>k</w:t>
      </w:r>
      <w:proofErr w:type="spellEnd"/>
      <w:r w:rsidRPr="0030175D">
        <w:rPr>
          <w:i/>
          <w:iCs/>
          <w:vertAlign w:val="superscript"/>
        </w:rPr>
        <w:t xml:space="preserve">        </w:t>
      </w:r>
      <w:r w:rsidRPr="0030175D">
        <w:t xml:space="preserve">resistência característica à compressão </w:t>
      </w:r>
      <w:r>
        <w:t xml:space="preserve">simples </w:t>
      </w:r>
      <w:r w:rsidRPr="0030175D">
        <w:t>de parede</w:t>
      </w:r>
    </w:p>
    <w:p w14:paraId="43431243" w14:textId="7B868053" w:rsidR="004172CC" w:rsidRPr="0030175D" w:rsidRDefault="004172CC" w:rsidP="004172CC">
      <w:proofErr w:type="spellStart"/>
      <w:r w:rsidRPr="0030175D">
        <w:rPr>
          <w:i/>
          <w:iCs/>
        </w:rPr>
        <w:t>f</w:t>
      </w:r>
      <w:r w:rsidRPr="0030175D">
        <w:rPr>
          <w:i/>
          <w:iCs/>
          <w:vertAlign w:val="subscript"/>
        </w:rPr>
        <w:t>pk</w:t>
      </w:r>
      <w:proofErr w:type="spellEnd"/>
      <w:r w:rsidRPr="0030175D">
        <w:rPr>
          <w:i/>
          <w:iCs/>
          <w:vertAlign w:val="subscript"/>
        </w:rPr>
        <w:t xml:space="preserve"> </w:t>
      </w:r>
      <w:r w:rsidRPr="0030175D">
        <w:t xml:space="preserve">   </w:t>
      </w:r>
      <w:r w:rsidR="00375D16">
        <w:t xml:space="preserve"> </w:t>
      </w:r>
      <w:r w:rsidRPr="0030175D">
        <w:t xml:space="preserve">resistência característica </w:t>
      </w:r>
      <w:r w:rsidR="0024680C" w:rsidRPr="0030175D">
        <w:t>à</w:t>
      </w:r>
      <w:r w:rsidRPr="0030175D">
        <w:t xml:space="preserve"> compressão simples </w:t>
      </w:r>
      <w:r w:rsidR="0024680C" w:rsidRPr="0030175D">
        <w:t>d</w:t>
      </w:r>
      <w:r w:rsidR="00F30D59" w:rsidRPr="0030175D">
        <w:t>o</w:t>
      </w:r>
      <w:r w:rsidRPr="0030175D">
        <w:t xml:space="preserve"> prisma</w:t>
      </w:r>
      <w:r w:rsidR="0024680C" w:rsidRPr="0030175D">
        <w:t xml:space="preserve"> oco</w:t>
      </w:r>
    </w:p>
    <w:p w14:paraId="7F2078AA" w14:textId="3207369E" w:rsidR="004172CC" w:rsidRDefault="004172CC" w:rsidP="004172CC">
      <w:proofErr w:type="spellStart"/>
      <w:r w:rsidRPr="0030175D">
        <w:rPr>
          <w:i/>
          <w:iCs/>
        </w:rPr>
        <w:lastRenderedPageBreak/>
        <w:t>f</w:t>
      </w:r>
      <w:r w:rsidRPr="0030175D">
        <w:rPr>
          <w:i/>
          <w:iCs/>
          <w:vertAlign w:val="subscript"/>
        </w:rPr>
        <w:t>ppk</w:t>
      </w:r>
      <w:proofErr w:type="spellEnd"/>
      <w:r w:rsidRPr="0030175D">
        <w:rPr>
          <w:i/>
          <w:iCs/>
          <w:vertAlign w:val="subscript"/>
        </w:rPr>
        <w:t xml:space="preserve">    </w:t>
      </w:r>
      <w:r w:rsidR="00375D16">
        <w:rPr>
          <w:i/>
          <w:iCs/>
          <w:vertAlign w:val="subscript"/>
        </w:rPr>
        <w:t xml:space="preserve"> </w:t>
      </w:r>
      <w:r w:rsidRPr="0030175D">
        <w:rPr>
          <w:i/>
          <w:iCs/>
          <w:vertAlign w:val="subscript"/>
        </w:rPr>
        <w:t xml:space="preserve"> </w:t>
      </w:r>
      <w:r w:rsidRPr="0030175D">
        <w:t xml:space="preserve">resistência característica </w:t>
      </w:r>
      <w:r w:rsidR="0024680C" w:rsidRPr="0030175D">
        <w:t>à</w:t>
      </w:r>
      <w:r w:rsidRPr="0030175D">
        <w:t xml:space="preserve"> compressão</w:t>
      </w:r>
      <w:r w:rsidR="00F30D59" w:rsidRPr="0030175D">
        <w:t xml:space="preserve"> simples</w:t>
      </w:r>
      <w:r w:rsidRPr="0030175D">
        <w:t xml:space="preserve"> </w:t>
      </w:r>
      <w:r w:rsidR="0024680C" w:rsidRPr="0030175D">
        <w:t>d</w:t>
      </w:r>
      <w:r w:rsidR="00F30D59" w:rsidRPr="0030175D">
        <w:t>a</w:t>
      </w:r>
      <w:r w:rsidRPr="0030175D">
        <w:t xml:space="preserve"> pequena parede</w:t>
      </w:r>
      <w:r w:rsidR="004F6AB1">
        <w:t xml:space="preserve"> </w:t>
      </w:r>
    </w:p>
    <w:p w14:paraId="1E6AD9B2" w14:textId="1DE89A5B" w:rsidR="00595C1E" w:rsidRDefault="00595C1E" w:rsidP="00595C1E">
      <w:proofErr w:type="spellStart"/>
      <w:r w:rsidRPr="0030175D">
        <w:rPr>
          <w:i/>
          <w:iCs/>
        </w:rPr>
        <w:t>f</w:t>
      </w:r>
      <w:r>
        <w:rPr>
          <w:i/>
          <w:iCs/>
          <w:vertAlign w:val="subscript"/>
        </w:rPr>
        <w:t>v</w:t>
      </w:r>
      <w:r w:rsidRPr="0030175D">
        <w:rPr>
          <w:i/>
          <w:iCs/>
          <w:vertAlign w:val="subscript"/>
        </w:rPr>
        <w:t>k</w:t>
      </w:r>
      <w:proofErr w:type="spellEnd"/>
      <w:r w:rsidRPr="0030175D">
        <w:rPr>
          <w:i/>
          <w:iCs/>
          <w:vertAlign w:val="subscript"/>
        </w:rPr>
        <w:t xml:space="preserve">    </w:t>
      </w:r>
      <w:r>
        <w:rPr>
          <w:i/>
          <w:iCs/>
          <w:vertAlign w:val="subscript"/>
        </w:rPr>
        <w:t xml:space="preserve"> </w:t>
      </w:r>
      <w:r w:rsidRPr="0030175D">
        <w:rPr>
          <w:i/>
          <w:iCs/>
          <w:vertAlign w:val="subscript"/>
        </w:rPr>
        <w:t xml:space="preserve"> </w:t>
      </w:r>
      <w:r w:rsidRPr="0030175D">
        <w:t xml:space="preserve">resistência característica </w:t>
      </w:r>
      <w:r>
        <w:t xml:space="preserve">ao </w:t>
      </w:r>
      <w:r w:rsidR="008B2047">
        <w:t>cisalhamento</w:t>
      </w:r>
      <w:r>
        <w:t xml:space="preserve"> por escorregamento da junta </w:t>
      </w:r>
      <w:r w:rsidR="00BF4ED5">
        <w:t>da alvenaria</w:t>
      </w:r>
    </w:p>
    <w:p w14:paraId="053A104F" w14:textId="3ACD5FB8" w:rsidR="004E4388" w:rsidRPr="0030175D" w:rsidRDefault="004E4388" w:rsidP="004E4388">
      <w:pPr>
        <w:rPr>
          <w:i/>
          <w:iCs/>
          <w:vertAlign w:val="subscript"/>
        </w:rPr>
      </w:pPr>
      <w:proofErr w:type="spellStart"/>
      <w:r w:rsidRPr="0030175D">
        <w:rPr>
          <w:i/>
          <w:iCs/>
        </w:rPr>
        <w:t>f</w:t>
      </w:r>
      <w:r>
        <w:rPr>
          <w:i/>
          <w:iCs/>
          <w:vertAlign w:val="subscript"/>
        </w:rPr>
        <w:t>t</w:t>
      </w:r>
      <w:r w:rsidRPr="0030175D">
        <w:rPr>
          <w:i/>
          <w:iCs/>
          <w:vertAlign w:val="subscript"/>
        </w:rPr>
        <w:t>k</w:t>
      </w:r>
      <w:proofErr w:type="spellEnd"/>
      <w:r w:rsidRPr="0030175D">
        <w:rPr>
          <w:i/>
          <w:iCs/>
          <w:vertAlign w:val="subscript"/>
        </w:rPr>
        <w:t xml:space="preserve">    </w:t>
      </w:r>
      <w:r>
        <w:rPr>
          <w:i/>
          <w:iCs/>
          <w:vertAlign w:val="subscript"/>
        </w:rPr>
        <w:t xml:space="preserve"> </w:t>
      </w:r>
      <w:r w:rsidRPr="0030175D">
        <w:rPr>
          <w:i/>
          <w:iCs/>
          <w:vertAlign w:val="subscript"/>
        </w:rPr>
        <w:t xml:space="preserve"> </w:t>
      </w:r>
      <w:r w:rsidRPr="0030175D">
        <w:t xml:space="preserve">resistência característica </w:t>
      </w:r>
      <w:r w:rsidR="00BF4ED5">
        <w:t>a tração por tração da alvenaria</w:t>
      </w:r>
      <w:r>
        <w:t xml:space="preserve"> </w:t>
      </w:r>
    </w:p>
    <w:p w14:paraId="23F278F0" w14:textId="1616A02D" w:rsidR="003F5690" w:rsidRDefault="003F5690" w:rsidP="004172CC">
      <w:r w:rsidRPr="0046596D">
        <w:rPr>
          <w:rFonts w:ascii="Symbol" w:hAnsi="Symbol"/>
        </w:rPr>
        <w:t>g</w:t>
      </w:r>
      <w:r w:rsidRPr="0046596D">
        <w:rPr>
          <w:vertAlign w:val="subscript"/>
        </w:rPr>
        <w:t>m</w:t>
      </w:r>
      <w:r>
        <w:rPr>
          <w:i/>
          <w:iCs/>
          <w:vertAlign w:val="subscript"/>
        </w:rPr>
        <w:t xml:space="preserve">     </w:t>
      </w:r>
      <w:r w:rsidR="00D61C5B">
        <w:rPr>
          <w:i/>
          <w:iCs/>
          <w:vertAlign w:val="subscript"/>
        </w:rPr>
        <w:t xml:space="preserve">  </w:t>
      </w:r>
      <w:r w:rsidR="00375D16">
        <w:rPr>
          <w:i/>
          <w:iCs/>
          <w:vertAlign w:val="subscript"/>
        </w:rPr>
        <w:t xml:space="preserve"> </w:t>
      </w:r>
      <w:r w:rsidR="00D61C5B">
        <w:t>c</w:t>
      </w:r>
      <w:r w:rsidRPr="003F5690">
        <w:t>oeficiente de ponderação das resistências</w:t>
      </w:r>
    </w:p>
    <w:p w14:paraId="3F615412" w14:textId="3EE368F7" w:rsidR="00AC5685" w:rsidRPr="0030175D" w:rsidRDefault="00AC5685" w:rsidP="004172CC">
      <w:r w:rsidRPr="0030175D">
        <w:rPr>
          <w:i/>
          <w:iCs/>
        </w:rPr>
        <w:t>h</w:t>
      </w:r>
      <w:r w:rsidR="00F30D59" w:rsidRPr="0030175D">
        <w:rPr>
          <w:i/>
          <w:iCs/>
        </w:rPr>
        <w:t xml:space="preserve"> </w:t>
      </w:r>
      <w:r w:rsidRPr="0030175D">
        <w:rPr>
          <w:i/>
          <w:iCs/>
          <w:vertAlign w:val="subscript"/>
        </w:rPr>
        <w:t xml:space="preserve">       </w:t>
      </w:r>
      <w:r w:rsidR="00375D16">
        <w:rPr>
          <w:i/>
          <w:iCs/>
          <w:vertAlign w:val="subscript"/>
        </w:rPr>
        <w:t xml:space="preserve">  </w:t>
      </w:r>
      <w:r w:rsidRPr="0030175D">
        <w:t xml:space="preserve">altura </w:t>
      </w:r>
    </w:p>
    <w:p w14:paraId="6C4F01D9" w14:textId="3D68BA79" w:rsidR="00F30D59" w:rsidRDefault="00F30D59" w:rsidP="00F30D59">
      <w:proofErr w:type="spellStart"/>
      <w:r w:rsidRPr="0030175D">
        <w:rPr>
          <w:i/>
          <w:iCs/>
        </w:rPr>
        <w:t>h</w:t>
      </w:r>
      <w:r w:rsidRPr="0030175D">
        <w:rPr>
          <w:i/>
          <w:iCs/>
          <w:vertAlign w:val="subscript"/>
        </w:rPr>
        <w:t>e</w:t>
      </w:r>
      <w:proofErr w:type="spellEnd"/>
      <w:r w:rsidRPr="0030175D">
        <w:rPr>
          <w:i/>
          <w:iCs/>
          <w:vertAlign w:val="subscript"/>
        </w:rPr>
        <w:t xml:space="preserve">       </w:t>
      </w:r>
      <w:r w:rsidR="00375D16">
        <w:rPr>
          <w:i/>
          <w:iCs/>
          <w:vertAlign w:val="subscript"/>
        </w:rPr>
        <w:t xml:space="preserve">  </w:t>
      </w:r>
      <w:r w:rsidRPr="0030175D">
        <w:t>altura efetiva</w:t>
      </w:r>
    </w:p>
    <w:p w14:paraId="547BA5FB" w14:textId="75C689BF" w:rsidR="00D61C5B" w:rsidRDefault="00D61C5B" w:rsidP="004172CC">
      <w:r w:rsidRPr="00D61C5B">
        <w:rPr>
          <w:i/>
          <w:iCs/>
        </w:rPr>
        <w:t>k</w:t>
      </w:r>
      <w:r>
        <w:rPr>
          <w:i/>
          <w:iCs/>
        </w:rPr>
        <w:t xml:space="preserve">      </w:t>
      </w:r>
      <w:r w:rsidR="00375D16">
        <w:rPr>
          <w:i/>
          <w:iCs/>
        </w:rPr>
        <w:t xml:space="preserve"> </w:t>
      </w:r>
      <w:r w:rsidRPr="00D61C5B">
        <w:t>fator junta horizontal de regularização</w:t>
      </w:r>
    </w:p>
    <w:p w14:paraId="339A002D" w14:textId="7EE075A2" w:rsidR="00375D16" w:rsidRDefault="00375D16" w:rsidP="00375D16">
      <w:r w:rsidRPr="0030175D">
        <w:rPr>
          <w:i/>
          <w:iCs/>
        </w:rPr>
        <w:t xml:space="preserve">t </w:t>
      </w:r>
      <w:r w:rsidRPr="0030175D">
        <w:rPr>
          <w:i/>
          <w:iCs/>
          <w:vertAlign w:val="subscript"/>
        </w:rPr>
        <w:t xml:space="preserve">       </w:t>
      </w:r>
      <w:r>
        <w:rPr>
          <w:i/>
          <w:iCs/>
          <w:vertAlign w:val="subscript"/>
        </w:rPr>
        <w:t xml:space="preserve">   </w:t>
      </w:r>
      <w:r w:rsidRPr="0030175D">
        <w:t>espessura</w:t>
      </w:r>
      <w:r>
        <w:t xml:space="preserve"> </w:t>
      </w:r>
    </w:p>
    <w:p w14:paraId="7D0F0164" w14:textId="1D64EDFE" w:rsidR="00AC5685" w:rsidRDefault="00AC5685" w:rsidP="00193950">
      <w:pPr>
        <w:spacing w:after="120"/>
      </w:pPr>
      <w:r w:rsidRPr="0030175D">
        <w:rPr>
          <w:i/>
          <w:iCs/>
        </w:rPr>
        <w:t>t</w:t>
      </w:r>
      <w:r w:rsidRPr="0030175D">
        <w:rPr>
          <w:i/>
          <w:iCs/>
          <w:vertAlign w:val="subscript"/>
        </w:rPr>
        <w:t xml:space="preserve">e       </w:t>
      </w:r>
      <w:r w:rsidR="00375D16">
        <w:rPr>
          <w:i/>
          <w:iCs/>
          <w:vertAlign w:val="subscript"/>
        </w:rPr>
        <w:t xml:space="preserve">  </w:t>
      </w:r>
      <w:r w:rsidRPr="0030175D">
        <w:t>espessura efetiva</w:t>
      </w:r>
    </w:p>
    <w:p w14:paraId="1EA73E92" w14:textId="77777777" w:rsidR="00193950" w:rsidRPr="0030175D" w:rsidRDefault="00193950" w:rsidP="00193950">
      <w:pPr>
        <w:spacing w:after="0"/>
      </w:pPr>
    </w:p>
    <w:p w14:paraId="20877AA6" w14:textId="368724FA" w:rsidR="00A95627" w:rsidRPr="0030175D" w:rsidRDefault="00A95627" w:rsidP="00D11842">
      <w:pPr>
        <w:pStyle w:val="Ttulo2"/>
        <w:ind w:left="431" w:hanging="431"/>
        <w:rPr>
          <w:sz w:val="24"/>
          <w:szCs w:val="24"/>
        </w:rPr>
      </w:pPr>
      <w:r w:rsidRPr="0030175D">
        <w:rPr>
          <w:sz w:val="24"/>
          <w:szCs w:val="24"/>
        </w:rPr>
        <w:t>Letras maiúsculas</w:t>
      </w:r>
    </w:p>
    <w:p w14:paraId="24BB2628" w14:textId="1B2A9620" w:rsidR="00F30D59" w:rsidRPr="003E2ACB" w:rsidRDefault="00F30D59" w:rsidP="00F30D59">
      <w:pPr>
        <w:widowControl w:val="0"/>
        <w:tabs>
          <w:tab w:val="left" w:pos="1708"/>
        </w:tabs>
        <w:autoSpaceDE w:val="0"/>
        <w:autoSpaceDN w:val="0"/>
        <w:rPr>
          <w:i/>
          <w:iCs/>
        </w:rPr>
      </w:pPr>
      <w:r w:rsidRPr="003E2ACB">
        <w:rPr>
          <w:i/>
          <w:iCs/>
        </w:rPr>
        <w:t xml:space="preserve">A     </w:t>
      </w:r>
      <w:r w:rsidR="0030175D" w:rsidRPr="003E2ACB">
        <w:rPr>
          <w:i/>
          <w:iCs/>
        </w:rPr>
        <w:t xml:space="preserve"> </w:t>
      </w:r>
      <w:r w:rsidR="00375D16" w:rsidRPr="003E2ACB">
        <w:rPr>
          <w:i/>
          <w:iCs/>
        </w:rPr>
        <w:t xml:space="preserve">     </w:t>
      </w:r>
      <w:r w:rsidRPr="003E2ACB">
        <w:t>área da seção da seção transversal</w:t>
      </w:r>
    </w:p>
    <w:p w14:paraId="0E40C4B6" w14:textId="78746E83" w:rsidR="003F5690" w:rsidRPr="003E2ACB" w:rsidRDefault="003F5690" w:rsidP="004172CC">
      <w:r w:rsidRPr="003E2ACB">
        <w:rPr>
          <w:i/>
          <w:iCs/>
        </w:rPr>
        <w:t>AAE</w:t>
      </w:r>
      <w:r w:rsidR="0030175D" w:rsidRPr="003E2ACB">
        <w:t xml:space="preserve">  </w:t>
      </w:r>
      <w:r w:rsidR="00375D16" w:rsidRPr="003E2ACB">
        <w:t xml:space="preserve">    </w:t>
      </w:r>
      <w:r w:rsidR="0030175D" w:rsidRPr="003E2ACB">
        <w:t>argamassa inorgânica para assentamento de unidades de alvenaria estrutural</w:t>
      </w:r>
    </w:p>
    <w:p w14:paraId="1C380C2F" w14:textId="12EBBB85" w:rsidR="003F5690" w:rsidRPr="003E2ACB" w:rsidRDefault="003F5690" w:rsidP="004172CC">
      <w:r w:rsidRPr="003E2ACB">
        <w:t xml:space="preserve">ELU   </w:t>
      </w:r>
      <w:r w:rsidR="00375D16" w:rsidRPr="003E2ACB">
        <w:t xml:space="preserve">   e</w:t>
      </w:r>
      <w:r w:rsidRPr="003E2ACB">
        <w:t>stado-</w:t>
      </w:r>
      <w:r w:rsidR="00375D16" w:rsidRPr="003E2ACB">
        <w:t>l</w:t>
      </w:r>
      <w:r w:rsidRPr="003E2ACB">
        <w:t>imite-</w:t>
      </w:r>
      <w:r w:rsidR="00375D16" w:rsidRPr="003E2ACB">
        <w:t>ú</w:t>
      </w:r>
      <w:r w:rsidRPr="003E2ACB">
        <w:t>ltimo</w:t>
      </w:r>
    </w:p>
    <w:p w14:paraId="7985AE1D" w14:textId="7FD9409B" w:rsidR="003F5690" w:rsidRPr="003E2ACB" w:rsidRDefault="003F5690" w:rsidP="004172CC">
      <w:r w:rsidRPr="003E2ACB">
        <w:t xml:space="preserve">ELS   </w:t>
      </w:r>
      <w:r w:rsidR="00375D16" w:rsidRPr="003E2ACB">
        <w:t xml:space="preserve">   e</w:t>
      </w:r>
      <w:r w:rsidRPr="003E2ACB">
        <w:t>stado</w:t>
      </w:r>
      <w:r w:rsidR="00375D16" w:rsidRPr="003E2ACB">
        <w:t xml:space="preserve"> l</w:t>
      </w:r>
      <w:r w:rsidRPr="003E2ACB">
        <w:t xml:space="preserve">imite de </w:t>
      </w:r>
      <w:r w:rsidR="00375D16" w:rsidRPr="003E2ACB">
        <w:t>s</w:t>
      </w:r>
      <w:r w:rsidRPr="003E2ACB">
        <w:t>erviço</w:t>
      </w:r>
    </w:p>
    <w:p w14:paraId="66C7C249" w14:textId="6CE30C58" w:rsidR="004172CC" w:rsidRPr="003E2ACB" w:rsidRDefault="004172CC" w:rsidP="004172CC">
      <w:r w:rsidRPr="003E2ACB">
        <w:t>TRRF</w:t>
      </w:r>
      <w:r w:rsidR="00375D16" w:rsidRPr="003E2ACB">
        <w:t xml:space="preserve">   tempo requerido de resistência ao fogo</w:t>
      </w:r>
    </w:p>
    <w:p w14:paraId="249801B4" w14:textId="4BCE008C" w:rsidR="006F4106" w:rsidRPr="003E2ACB" w:rsidRDefault="006F4106" w:rsidP="006F4106">
      <w:pPr>
        <w:widowControl w:val="0"/>
        <w:tabs>
          <w:tab w:val="left" w:pos="1708"/>
        </w:tabs>
        <w:autoSpaceDE w:val="0"/>
        <w:autoSpaceDN w:val="0"/>
      </w:pPr>
      <w:proofErr w:type="spellStart"/>
      <w:r w:rsidRPr="003E2ACB">
        <w:rPr>
          <w:i/>
          <w:iCs/>
        </w:rPr>
        <w:t>N</w:t>
      </w:r>
      <w:r w:rsidRPr="003E2ACB">
        <w:rPr>
          <w:i/>
          <w:iCs/>
          <w:vertAlign w:val="subscript"/>
        </w:rPr>
        <w:t>Rd</w:t>
      </w:r>
      <w:proofErr w:type="spellEnd"/>
      <w:r w:rsidRPr="003E2ACB">
        <w:t xml:space="preserve">       </w:t>
      </w:r>
      <w:r w:rsidR="00375D16" w:rsidRPr="003E2ACB">
        <w:t xml:space="preserve"> </w:t>
      </w:r>
      <w:r w:rsidRPr="003E2ACB">
        <w:t>força normal resistente de cálculo</w:t>
      </w:r>
    </w:p>
    <w:p w14:paraId="270FA59B" w14:textId="72A64BB9" w:rsidR="00D815C7" w:rsidRPr="003E2ACB" w:rsidRDefault="00D815C7" w:rsidP="00D815C7">
      <w:pPr>
        <w:widowControl w:val="0"/>
        <w:tabs>
          <w:tab w:val="left" w:pos="1708"/>
        </w:tabs>
        <w:autoSpaceDE w:val="0"/>
        <w:autoSpaceDN w:val="0"/>
        <w:rPr>
          <w:i/>
          <w:iCs/>
        </w:rPr>
      </w:pPr>
      <w:r w:rsidRPr="003E2ACB">
        <w:rPr>
          <w:i/>
          <w:iCs/>
        </w:rPr>
        <w:t xml:space="preserve">R      </w:t>
      </w:r>
      <w:r w:rsidR="00375D16" w:rsidRPr="003E2ACB">
        <w:rPr>
          <w:i/>
          <w:iCs/>
        </w:rPr>
        <w:t xml:space="preserve">     </w:t>
      </w:r>
      <w:r w:rsidRPr="003E2ACB">
        <w:t>coeficiente redutor devido à esbeltez</w:t>
      </w:r>
    </w:p>
    <w:p w14:paraId="00EE7299" w14:textId="098A7F75" w:rsidR="006F4106" w:rsidRPr="003E2ACB" w:rsidRDefault="006F4106" w:rsidP="006F4106">
      <w:r w:rsidRPr="003E2ACB">
        <w:rPr>
          <w:i/>
          <w:iCs/>
        </w:rPr>
        <w:t>R</w:t>
      </w:r>
      <w:r w:rsidRPr="003E2ACB">
        <w:rPr>
          <w:i/>
          <w:iCs/>
          <w:vertAlign w:val="subscript"/>
        </w:rPr>
        <w:t xml:space="preserve">d       </w:t>
      </w:r>
      <w:r w:rsidR="00375D16" w:rsidRPr="003E2ACB">
        <w:rPr>
          <w:i/>
          <w:iCs/>
          <w:vertAlign w:val="subscript"/>
        </w:rPr>
        <w:t xml:space="preserve">        </w:t>
      </w:r>
      <w:r w:rsidRPr="003E2ACB">
        <w:t>esforço resistente de cálculo</w:t>
      </w:r>
    </w:p>
    <w:p w14:paraId="56AF0CC8" w14:textId="7817594B" w:rsidR="006F4106" w:rsidRPr="003E2ACB" w:rsidRDefault="006F4106" w:rsidP="006F4106">
      <w:proofErr w:type="spellStart"/>
      <w:r w:rsidRPr="003E2ACB">
        <w:rPr>
          <w:i/>
          <w:iCs/>
        </w:rPr>
        <w:t>S</w:t>
      </w:r>
      <w:r w:rsidRPr="003E2ACB">
        <w:rPr>
          <w:i/>
          <w:iCs/>
          <w:vertAlign w:val="subscript"/>
        </w:rPr>
        <w:t>d</w:t>
      </w:r>
      <w:proofErr w:type="spellEnd"/>
      <w:r w:rsidRPr="003E2ACB">
        <w:rPr>
          <w:i/>
          <w:iCs/>
          <w:vertAlign w:val="subscript"/>
        </w:rPr>
        <w:t xml:space="preserve">       </w:t>
      </w:r>
      <w:r w:rsidR="00375D16" w:rsidRPr="003E2ACB">
        <w:rPr>
          <w:i/>
          <w:iCs/>
          <w:vertAlign w:val="subscript"/>
        </w:rPr>
        <w:t xml:space="preserve">        </w:t>
      </w:r>
      <w:r w:rsidRPr="003E2ACB">
        <w:t>esforço solicitante de cálculo</w:t>
      </w:r>
    </w:p>
    <w:p w14:paraId="6A092198" w14:textId="5E56AB08" w:rsidR="00D815C7" w:rsidRPr="003E2ACB" w:rsidRDefault="00000000" w:rsidP="00193950">
      <w:pPr>
        <w:spacing w:after="0"/>
      </w:pPr>
      <m:oMath>
        <m:sSub>
          <m:sSubPr>
            <m:ctrlPr>
              <w:rPr>
                <w:rFonts w:ascii="Cambria Math" w:hAnsi="Cambria Math"/>
                <w:i/>
                <w:noProof/>
              </w:rPr>
            </m:ctrlPr>
          </m:sSubPr>
          <m:e>
            <m:r>
              <w:rPr>
                <w:rFonts w:ascii="Cambria Math"/>
                <w:noProof/>
              </w:rPr>
              <m:t>V</m:t>
            </m:r>
          </m:e>
          <m:sub>
            <m:r>
              <w:rPr>
                <w:rFonts w:ascii="Cambria Math"/>
                <w:noProof/>
              </w:rPr>
              <m:t>d</m:t>
            </m:r>
          </m:sub>
        </m:sSub>
      </m:oMath>
      <w:r w:rsidR="00F30D59" w:rsidRPr="003E2ACB">
        <w:rPr>
          <w:rFonts w:eastAsiaTheme="minorEastAsia"/>
        </w:rPr>
        <w:t xml:space="preserve">    </w:t>
      </w:r>
      <w:r w:rsidR="00375D16" w:rsidRPr="003E2ACB">
        <w:rPr>
          <w:rFonts w:eastAsiaTheme="minorEastAsia"/>
        </w:rPr>
        <w:t xml:space="preserve">      </w:t>
      </w:r>
      <w:r w:rsidR="00F30D59" w:rsidRPr="003E2ACB">
        <w:rPr>
          <w:rFonts w:eastAsiaTheme="minorEastAsia"/>
        </w:rPr>
        <w:t>força cortante de cálculo</w:t>
      </w:r>
    </w:p>
    <w:p w14:paraId="380708EE" w14:textId="77777777" w:rsidR="006F4106" w:rsidRPr="007F3836" w:rsidRDefault="006F4106" w:rsidP="00193950">
      <w:pPr>
        <w:widowControl w:val="0"/>
        <w:tabs>
          <w:tab w:val="left" w:pos="1708"/>
        </w:tabs>
        <w:autoSpaceDE w:val="0"/>
        <w:autoSpaceDN w:val="0"/>
        <w:spacing w:after="0"/>
      </w:pPr>
    </w:p>
    <w:p w14:paraId="79A24E2D" w14:textId="6AB21FD4" w:rsidR="00A95627" w:rsidRPr="00375D16" w:rsidRDefault="00A95627" w:rsidP="00D11842">
      <w:pPr>
        <w:pStyle w:val="Ttulo2"/>
        <w:ind w:left="431" w:hanging="431"/>
        <w:rPr>
          <w:sz w:val="24"/>
          <w:szCs w:val="24"/>
        </w:rPr>
      </w:pPr>
      <w:r w:rsidRPr="00375D16">
        <w:rPr>
          <w:sz w:val="24"/>
          <w:szCs w:val="24"/>
        </w:rPr>
        <w:t>Letras gregas</w:t>
      </w:r>
    </w:p>
    <w:p w14:paraId="7054A480" w14:textId="16483041" w:rsidR="003F5690" w:rsidRDefault="003F5690" w:rsidP="003F5690">
      <w:r w:rsidRPr="00375D16">
        <w:rPr>
          <w:rFonts w:ascii="Symbol" w:hAnsi="Symbol"/>
        </w:rPr>
        <w:t>g</w:t>
      </w:r>
      <w:r w:rsidRPr="00375D16">
        <w:rPr>
          <w:vertAlign w:val="subscript"/>
        </w:rPr>
        <w:t xml:space="preserve">m   </w:t>
      </w:r>
      <w:r w:rsidR="00D61C5B" w:rsidRPr="00375D16">
        <w:rPr>
          <w:vertAlign w:val="subscript"/>
        </w:rPr>
        <w:t xml:space="preserve">   </w:t>
      </w:r>
      <w:r w:rsidR="00F30D59" w:rsidRPr="00375D16">
        <w:t>c</w:t>
      </w:r>
      <w:r w:rsidR="00D61C5B" w:rsidRPr="00375D16">
        <w:t>oeficiente de ponderação d</w:t>
      </w:r>
      <w:r w:rsidR="00F30D59" w:rsidRPr="00375D16">
        <w:t>as</w:t>
      </w:r>
      <w:r w:rsidR="00D61C5B" w:rsidRPr="00375D16">
        <w:t xml:space="preserve"> resistência</w:t>
      </w:r>
      <w:r w:rsidR="00F30D59" w:rsidRPr="00375D16">
        <w:t>s</w:t>
      </w:r>
    </w:p>
    <w:p w14:paraId="24A868A3" w14:textId="77777777" w:rsidR="00375D16" w:rsidRDefault="00375D16" w:rsidP="00375D16">
      <w:r w:rsidRPr="00375D16">
        <w:rPr>
          <w:rFonts w:ascii="Symbol" w:hAnsi="Symbol"/>
        </w:rPr>
        <w:t>l</w:t>
      </w:r>
      <w:r w:rsidRPr="00375D16">
        <w:t xml:space="preserve">      índice de esbeltez</w:t>
      </w:r>
    </w:p>
    <w:p w14:paraId="3E4D4BA3" w14:textId="6A6FF3BE" w:rsidR="00D61C5B" w:rsidRPr="00375D16" w:rsidRDefault="00D61C5B" w:rsidP="003F5690">
      <w:r w:rsidRPr="00375D16">
        <w:rPr>
          <w:rFonts w:ascii="Symbol" w:hAnsi="Symbol"/>
        </w:rPr>
        <w:t xml:space="preserve">s      </w:t>
      </w:r>
      <w:r w:rsidRPr="00375D16">
        <w:t xml:space="preserve">tensão normal </w:t>
      </w:r>
    </w:p>
    <w:p w14:paraId="7ABD703E" w14:textId="44AD7E8C" w:rsidR="00D815C7" w:rsidRDefault="00000000" w:rsidP="006F4106">
      <m:oMath>
        <m:sSub>
          <m:sSubPr>
            <m:ctrlPr>
              <w:rPr>
                <w:rFonts w:ascii="Cambria Math" w:hAnsi="Cambria Math"/>
                <w:i/>
              </w:rPr>
            </m:ctrlPr>
          </m:sSubPr>
          <m:e>
            <m:r>
              <w:rPr>
                <w:rFonts w:ascii="Cambria Math" w:hAnsi="Cambria Math"/>
              </w:rPr>
              <m:t>σ</m:t>
            </m:r>
          </m:e>
          <m:sub>
            <m:r>
              <w:rPr>
                <w:rFonts w:ascii="Cambria Math" w:hAnsi="Cambria Math"/>
              </w:rPr>
              <m:t>d</m:t>
            </m:r>
          </m:sub>
        </m:sSub>
      </m:oMath>
      <w:r w:rsidR="00D815C7">
        <w:rPr>
          <w:rFonts w:eastAsiaTheme="minorEastAsia"/>
        </w:rPr>
        <w:t xml:space="preserve">     </w:t>
      </w:r>
      <w:r w:rsidR="00D815C7">
        <w:t>tensão de contato</w:t>
      </w:r>
    </w:p>
    <w:p w14:paraId="14BF85B8" w14:textId="60C83BB9" w:rsidR="00193950" w:rsidRDefault="00000000" w:rsidP="006F4106">
      <m:oMath>
        <m:sSub>
          <m:sSubPr>
            <m:ctrlPr>
              <w:rPr>
                <w:rFonts w:ascii="Cambria Math" w:hAnsi="Cambria Math"/>
                <w:i/>
                <w:noProof/>
              </w:rPr>
            </m:ctrlPr>
          </m:sSubPr>
          <m:e>
            <m:r>
              <w:rPr>
                <w:rFonts w:ascii="Cambria Math"/>
                <w:noProof/>
              </w:rPr>
              <m:t>τ</m:t>
            </m:r>
          </m:e>
          <m:sub>
            <m:r>
              <w:rPr>
                <w:rFonts w:ascii="Cambria Math"/>
                <w:noProof/>
              </w:rPr>
              <m:t>vd</m:t>
            </m:r>
          </m:sub>
        </m:sSub>
      </m:oMath>
      <w:r w:rsidR="00D815C7" w:rsidRPr="00375D16">
        <w:rPr>
          <w:rFonts w:eastAsiaTheme="minorEastAsia"/>
        </w:rPr>
        <w:t xml:space="preserve">    </w:t>
      </w:r>
      <w:r w:rsidR="00D815C7" w:rsidRPr="00375D16">
        <w:t xml:space="preserve">tensão </w:t>
      </w:r>
      <w:r w:rsidR="00F30D59" w:rsidRPr="00375D16">
        <w:t xml:space="preserve">de cálculo convencional </w:t>
      </w:r>
      <w:r w:rsidR="00D815C7" w:rsidRPr="00375D16">
        <w:t>de cisalhamento</w:t>
      </w:r>
    </w:p>
    <w:p w14:paraId="7CA8062A" w14:textId="77777777" w:rsidR="00193950" w:rsidRDefault="00193950">
      <w:pPr>
        <w:spacing w:line="240" w:lineRule="auto"/>
        <w:jc w:val="left"/>
      </w:pPr>
      <w:r>
        <w:br w:type="page"/>
      </w:r>
    </w:p>
    <w:p w14:paraId="47F0568F" w14:textId="2801CCDD" w:rsidR="00A95627" w:rsidRPr="00D67F54" w:rsidRDefault="00A95627" w:rsidP="00A95627">
      <w:pPr>
        <w:pStyle w:val="Ttulo1"/>
        <w:rPr>
          <w:sz w:val="26"/>
          <w:szCs w:val="26"/>
        </w:rPr>
      </w:pPr>
      <w:r w:rsidRPr="00D67F54">
        <w:rPr>
          <w:sz w:val="26"/>
          <w:szCs w:val="26"/>
        </w:rPr>
        <w:lastRenderedPageBreak/>
        <w:t>Requisitos</w:t>
      </w:r>
    </w:p>
    <w:p w14:paraId="582B96E8" w14:textId="32D507F8" w:rsidR="00A95627" w:rsidRPr="0067306C" w:rsidRDefault="00A95627" w:rsidP="00D84582">
      <w:pPr>
        <w:pStyle w:val="Ttulo2"/>
        <w:spacing w:before="220"/>
        <w:ind w:left="431" w:hanging="431"/>
        <w:rPr>
          <w:sz w:val="24"/>
          <w:szCs w:val="24"/>
        </w:rPr>
      </w:pPr>
      <w:bookmarkStart w:id="11" w:name="_Ref186303768"/>
      <w:r w:rsidRPr="0067306C">
        <w:rPr>
          <w:sz w:val="24"/>
          <w:szCs w:val="24"/>
        </w:rPr>
        <w:t>Qualidade da estrutura</w:t>
      </w:r>
      <w:bookmarkEnd w:id="11"/>
    </w:p>
    <w:p w14:paraId="5FD9B6A5" w14:textId="750D5DE3" w:rsidR="00A95627" w:rsidRPr="00243585" w:rsidRDefault="00A95627" w:rsidP="00A95627">
      <w:r w:rsidRPr="007F3836">
        <w:t xml:space="preserve">A solução estrutural adotada em projeto deve atender aos requisitos de qualidade </w:t>
      </w:r>
      <w:r w:rsidRPr="00243585">
        <w:t xml:space="preserve">estabelecidos relativos à capacidade resistente, ao desempenho em serviço e à durabilidade da estrutura, conforme </w:t>
      </w:r>
      <w:r w:rsidR="00384E18" w:rsidRPr="00243585">
        <w:fldChar w:fldCharType="begin"/>
      </w:r>
      <w:r w:rsidR="00384E18" w:rsidRPr="00243585">
        <w:instrText xml:space="preserve"> REF _Ref186302163 \w \h </w:instrText>
      </w:r>
      <w:r w:rsidR="006D3209" w:rsidRPr="00243585">
        <w:instrText xml:space="preserve"> \* MERGEFORMAT </w:instrText>
      </w:r>
      <w:r w:rsidR="00384E18" w:rsidRPr="00243585">
        <w:fldChar w:fldCharType="separate"/>
      </w:r>
      <w:r w:rsidR="0024680C" w:rsidRPr="00243585">
        <w:t>5.1.1</w:t>
      </w:r>
      <w:r w:rsidR="00384E18" w:rsidRPr="00243585">
        <w:fldChar w:fldCharType="end"/>
      </w:r>
      <w:r w:rsidR="00384E18" w:rsidRPr="00243585">
        <w:t xml:space="preserve"> a </w:t>
      </w:r>
      <w:r w:rsidR="00384E18" w:rsidRPr="00243585">
        <w:fldChar w:fldCharType="begin"/>
      </w:r>
      <w:r w:rsidR="00384E18" w:rsidRPr="00243585">
        <w:instrText xml:space="preserve"> REF _Ref186302167 \w \h </w:instrText>
      </w:r>
      <w:r w:rsidR="006D3209" w:rsidRPr="00243585">
        <w:instrText xml:space="preserve"> \* MERGEFORMAT </w:instrText>
      </w:r>
      <w:r w:rsidR="00384E18" w:rsidRPr="00243585">
        <w:fldChar w:fldCharType="separate"/>
      </w:r>
      <w:r w:rsidR="0024680C" w:rsidRPr="00243585">
        <w:t>5.1.3</w:t>
      </w:r>
      <w:r w:rsidR="00384E18" w:rsidRPr="00243585">
        <w:fldChar w:fldCharType="end"/>
      </w:r>
      <w:r w:rsidRPr="00243585">
        <w:t>.</w:t>
      </w:r>
    </w:p>
    <w:p w14:paraId="2FA5D71A" w14:textId="1A0588BB" w:rsidR="00D81AF4" w:rsidRPr="00243585" w:rsidRDefault="00385228" w:rsidP="00A95627">
      <w:r w:rsidRPr="00243585">
        <w:t xml:space="preserve">O projeto deverá contemplar a modulação </w:t>
      </w:r>
      <w:r w:rsidR="00C63684" w:rsidRPr="00243585">
        <w:t>detalhada de cada parede</w:t>
      </w:r>
      <w:r w:rsidR="000D25CE" w:rsidRPr="00243585">
        <w:t xml:space="preserve"> estrutural</w:t>
      </w:r>
      <w:r w:rsidR="00DC16F1" w:rsidRPr="00243585">
        <w:t xml:space="preserve">, </w:t>
      </w:r>
      <w:r w:rsidR="005E7039" w:rsidRPr="00243585">
        <w:t xml:space="preserve">obrigatoriamente </w:t>
      </w:r>
      <w:r w:rsidR="00DC16F1" w:rsidRPr="00243585">
        <w:t xml:space="preserve">considerando </w:t>
      </w:r>
      <w:r w:rsidR="009F01C2" w:rsidRPr="00243585">
        <w:t xml:space="preserve">as disposições geométricas </w:t>
      </w:r>
      <w:r w:rsidR="00C30C32" w:rsidRPr="00243585">
        <w:t>indicadas nesta</w:t>
      </w:r>
      <w:r w:rsidR="005E7039" w:rsidRPr="00243585">
        <w:t xml:space="preserve"> Norma</w:t>
      </w:r>
      <w:r w:rsidR="00127694" w:rsidRPr="00243585">
        <w:t>.</w:t>
      </w:r>
    </w:p>
    <w:p w14:paraId="4124CFD4" w14:textId="2ADD9401" w:rsidR="00CB5507" w:rsidRPr="00243585" w:rsidRDefault="003C0BF0" w:rsidP="00A95627">
      <w:pPr>
        <w:rPr>
          <w:sz w:val="18"/>
          <w:szCs w:val="18"/>
        </w:rPr>
      </w:pPr>
      <w:r w:rsidRPr="00243585">
        <w:rPr>
          <w:sz w:val="18"/>
          <w:szCs w:val="18"/>
        </w:rPr>
        <w:t>NOTA</w:t>
      </w:r>
      <w:r w:rsidRPr="00243585">
        <w:rPr>
          <w:sz w:val="18"/>
          <w:szCs w:val="18"/>
        </w:rPr>
        <w:tab/>
      </w:r>
      <w:r w:rsidR="00CB5507" w:rsidRPr="00243585">
        <w:rPr>
          <w:sz w:val="18"/>
          <w:szCs w:val="18"/>
        </w:rPr>
        <w:t>1</w:t>
      </w:r>
      <w:r w:rsidRPr="00243585">
        <w:rPr>
          <w:sz w:val="18"/>
          <w:szCs w:val="18"/>
        </w:rPr>
        <w:tab/>
        <w:t>Em sendo um sistema de alvenaria estrutural com composto polimérico</w:t>
      </w:r>
      <w:r w:rsidR="001F19E1" w:rsidRPr="00243585">
        <w:rPr>
          <w:sz w:val="18"/>
          <w:szCs w:val="18"/>
        </w:rPr>
        <w:t xml:space="preserve">, </w:t>
      </w:r>
      <w:r w:rsidR="001D7F91" w:rsidRPr="00243585">
        <w:rPr>
          <w:sz w:val="18"/>
          <w:szCs w:val="18"/>
        </w:rPr>
        <w:t>a qualidade da estrutura está diretamente condicionada à</w:t>
      </w:r>
      <w:r w:rsidR="002804FA" w:rsidRPr="00243585">
        <w:rPr>
          <w:sz w:val="18"/>
          <w:szCs w:val="18"/>
        </w:rPr>
        <w:t xml:space="preserve"> </w:t>
      </w:r>
      <w:r w:rsidR="002546CB" w:rsidRPr="00243585">
        <w:rPr>
          <w:sz w:val="18"/>
          <w:szCs w:val="18"/>
        </w:rPr>
        <w:t>compatibilização</w:t>
      </w:r>
      <w:r w:rsidR="002804FA" w:rsidRPr="00243585">
        <w:rPr>
          <w:sz w:val="18"/>
          <w:szCs w:val="18"/>
        </w:rPr>
        <w:t xml:space="preserve"> da modulação</w:t>
      </w:r>
      <w:r w:rsidR="009D0F31" w:rsidRPr="00243585">
        <w:rPr>
          <w:sz w:val="18"/>
          <w:szCs w:val="18"/>
        </w:rPr>
        <w:t xml:space="preserve"> com os </w:t>
      </w:r>
      <w:r w:rsidR="00711FFC" w:rsidRPr="00243585">
        <w:rPr>
          <w:sz w:val="18"/>
          <w:szCs w:val="18"/>
        </w:rPr>
        <w:t>projetos das outras disciplinas técnicas</w:t>
      </w:r>
      <w:r w:rsidR="004E1E22" w:rsidRPr="00243585">
        <w:rPr>
          <w:sz w:val="18"/>
          <w:szCs w:val="18"/>
        </w:rPr>
        <w:t xml:space="preserve">, </w:t>
      </w:r>
      <w:r w:rsidR="003329B8" w:rsidRPr="00243585">
        <w:rPr>
          <w:sz w:val="18"/>
          <w:szCs w:val="18"/>
        </w:rPr>
        <w:t xml:space="preserve">inclusive </w:t>
      </w:r>
      <w:r w:rsidR="004E1E22" w:rsidRPr="00243585">
        <w:rPr>
          <w:sz w:val="18"/>
          <w:szCs w:val="18"/>
        </w:rPr>
        <w:t xml:space="preserve">do Projeto </w:t>
      </w:r>
      <w:r w:rsidR="000C7F23" w:rsidRPr="00243585">
        <w:rPr>
          <w:sz w:val="18"/>
          <w:szCs w:val="18"/>
        </w:rPr>
        <w:t>Arquitetônico</w:t>
      </w:r>
      <w:r w:rsidR="00FC77DF" w:rsidRPr="00243585">
        <w:rPr>
          <w:sz w:val="18"/>
          <w:szCs w:val="18"/>
        </w:rPr>
        <w:t xml:space="preserve">, </w:t>
      </w:r>
      <w:r w:rsidR="00CF5C12" w:rsidRPr="00243585">
        <w:rPr>
          <w:sz w:val="18"/>
          <w:szCs w:val="18"/>
        </w:rPr>
        <w:t>Instalações Hidrossanitárias, Elétricas e demais projetos complementares</w:t>
      </w:r>
      <w:r w:rsidR="003329B8" w:rsidRPr="00243585">
        <w:rPr>
          <w:sz w:val="18"/>
          <w:szCs w:val="18"/>
        </w:rPr>
        <w:t>.</w:t>
      </w:r>
    </w:p>
    <w:p w14:paraId="0716C872" w14:textId="00E96ED5" w:rsidR="003C0BF0" w:rsidRPr="00243585" w:rsidRDefault="00CB5507" w:rsidP="00A95627">
      <w:pPr>
        <w:rPr>
          <w:sz w:val="18"/>
          <w:szCs w:val="18"/>
        </w:rPr>
      </w:pPr>
      <w:r w:rsidRPr="00243585">
        <w:rPr>
          <w:sz w:val="18"/>
          <w:szCs w:val="18"/>
        </w:rPr>
        <w:t>NOTA</w:t>
      </w:r>
      <w:r w:rsidRPr="00243585">
        <w:rPr>
          <w:sz w:val="18"/>
          <w:szCs w:val="18"/>
        </w:rPr>
        <w:tab/>
        <w:t>2</w:t>
      </w:r>
      <w:r w:rsidRPr="00243585">
        <w:rPr>
          <w:sz w:val="18"/>
          <w:szCs w:val="18"/>
        </w:rPr>
        <w:tab/>
        <w:t xml:space="preserve">É fortemente recomendado que </w:t>
      </w:r>
      <w:r w:rsidR="000C7F23" w:rsidRPr="00243585">
        <w:rPr>
          <w:sz w:val="18"/>
          <w:szCs w:val="18"/>
        </w:rPr>
        <w:t>seja previst</w:t>
      </w:r>
      <w:r w:rsidR="00715532" w:rsidRPr="00243585">
        <w:rPr>
          <w:sz w:val="18"/>
          <w:szCs w:val="18"/>
        </w:rPr>
        <w:t>a,</w:t>
      </w:r>
      <w:r w:rsidR="003329B8" w:rsidRPr="00243585">
        <w:rPr>
          <w:sz w:val="18"/>
          <w:szCs w:val="18"/>
        </w:rPr>
        <w:t xml:space="preserve"> desde o desenvolvimento do Projeto Arquitetônico</w:t>
      </w:r>
      <w:r w:rsidR="00715532" w:rsidRPr="00243585">
        <w:rPr>
          <w:sz w:val="18"/>
          <w:szCs w:val="18"/>
        </w:rPr>
        <w:t>,</w:t>
      </w:r>
      <w:r w:rsidR="003329B8" w:rsidRPr="00243585">
        <w:rPr>
          <w:sz w:val="18"/>
          <w:szCs w:val="18"/>
        </w:rPr>
        <w:t xml:space="preserve"> a</w:t>
      </w:r>
      <w:r w:rsidR="006C635B" w:rsidRPr="00243585">
        <w:rPr>
          <w:sz w:val="18"/>
          <w:szCs w:val="18"/>
        </w:rPr>
        <w:t xml:space="preserve"> </w:t>
      </w:r>
      <w:r w:rsidR="0070772C" w:rsidRPr="00243585">
        <w:rPr>
          <w:sz w:val="18"/>
          <w:szCs w:val="18"/>
        </w:rPr>
        <w:t>coordenação modular</w:t>
      </w:r>
      <w:r w:rsidR="006C635B" w:rsidRPr="00243585">
        <w:rPr>
          <w:sz w:val="18"/>
          <w:szCs w:val="18"/>
        </w:rPr>
        <w:t xml:space="preserve"> específica</w:t>
      </w:r>
      <w:r w:rsidR="002D7CFC" w:rsidRPr="00243585">
        <w:rPr>
          <w:sz w:val="18"/>
          <w:szCs w:val="18"/>
        </w:rPr>
        <w:t xml:space="preserve"> para alvenaria estrutural com junta fina, dadas as particularidades </w:t>
      </w:r>
      <w:r w:rsidR="001E04E7" w:rsidRPr="00243585">
        <w:rPr>
          <w:sz w:val="18"/>
          <w:szCs w:val="18"/>
        </w:rPr>
        <w:t>deste tipo de sistema</w:t>
      </w:r>
      <w:r w:rsidR="006F6635" w:rsidRPr="00243585">
        <w:rPr>
          <w:sz w:val="18"/>
          <w:szCs w:val="18"/>
        </w:rPr>
        <w:t>.</w:t>
      </w:r>
    </w:p>
    <w:p w14:paraId="3E40CFD4" w14:textId="7B4E2C5A" w:rsidR="00A95627" w:rsidRPr="00243585" w:rsidRDefault="00A95627" w:rsidP="00D11842">
      <w:pPr>
        <w:pStyle w:val="Ttulo3"/>
        <w:ind w:left="505" w:hanging="505"/>
        <w:rPr>
          <w:i w:val="0"/>
          <w:iCs/>
        </w:rPr>
      </w:pPr>
      <w:bookmarkStart w:id="12" w:name="_Ref186302163"/>
      <w:r w:rsidRPr="00243585">
        <w:rPr>
          <w:i w:val="0"/>
          <w:iCs/>
        </w:rPr>
        <w:t>Capacidade resistente</w:t>
      </w:r>
      <w:bookmarkEnd w:id="12"/>
    </w:p>
    <w:p w14:paraId="4264A910" w14:textId="705AED06" w:rsidR="00A95627" w:rsidRPr="00243585" w:rsidRDefault="00A95627" w:rsidP="00A95627">
      <w:r w:rsidRPr="00243585">
        <w:t>O projeto deve ser consistente de modo a assegurar a segurança à ruptura.</w:t>
      </w:r>
    </w:p>
    <w:p w14:paraId="399E45F2" w14:textId="2505DD92" w:rsidR="00A95627" w:rsidRPr="00243585" w:rsidRDefault="00A95627" w:rsidP="00D11842">
      <w:pPr>
        <w:pStyle w:val="Ttulo3"/>
        <w:ind w:left="505" w:hanging="505"/>
        <w:rPr>
          <w:i w:val="0"/>
          <w:iCs/>
        </w:rPr>
      </w:pPr>
      <w:r w:rsidRPr="00243585">
        <w:rPr>
          <w:i w:val="0"/>
          <w:iCs/>
        </w:rPr>
        <w:t>Desempenho em serviço</w:t>
      </w:r>
    </w:p>
    <w:p w14:paraId="58FFE2B7" w14:textId="6D11FC62" w:rsidR="00A95627" w:rsidRPr="00243585" w:rsidRDefault="00A95627" w:rsidP="00A95627">
      <w:r w:rsidRPr="00243585">
        <w:t>A estrutura não pode apresentar danos que comprometam em parte ou totalmente o uso para o qual foi projetada e deve ter capacidade de manter-se em condições plenas de utilização durante sua vida útil.</w:t>
      </w:r>
    </w:p>
    <w:p w14:paraId="6BA958F9" w14:textId="62692261" w:rsidR="00A95627" w:rsidRPr="00243585" w:rsidRDefault="00A95627" w:rsidP="00D11842">
      <w:pPr>
        <w:pStyle w:val="Ttulo3"/>
        <w:ind w:left="505" w:hanging="505"/>
        <w:rPr>
          <w:i w:val="0"/>
          <w:iCs/>
        </w:rPr>
      </w:pPr>
      <w:bookmarkStart w:id="13" w:name="_Ref186302167"/>
      <w:r w:rsidRPr="00243585">
        <w:rPr>
          <w:i w:val="0"/>
          <w:iCs/>
        </w:rPr>
        <w:t>Durabilidade da estrutura</w:t>
      </w:r>
      <w:bookmarkEnd w:id="13"/>
    </w:p>
    <w:p w14:paraId="2A272DF9" w14:textId="7F388275" w:rsidR="00A95627" w:rsidRPr="00243585" w:rsidRDefault="00A95627" w:rsidP="00A95627">
      <w:r w:rsidRPr="00243585">
        <w:t>A estrutura deve ter capacidade de resistir às influências ambientais previstas e definidas em conjunto pelo projetista estrutural e seu contratante, no início dos trabalhos de elaboração do projeto.</w:t>
      </w:r>
    </w:p>
    <w:p w14:paraId="3C1B7955" w14:textId="21CD4CBB" w:rsidR="00A95627" w:rsidRPr="00243585" w:rsidRDefault="00A95627" w:rsidP="00C30C32">
      <w:pPr>
        <w:pStyle w:val="Ttulo2"/>
        <w:ind w:left="431" w:hanging="431"/>
        <w:rPr>
          <w:sz w:val="24"/>
          <w:szCs w:val="24"/>
        </w:rPr>
      </w:pPr>
      <w:r w:rsidRPr="00243585">
        <w:rPr>
          <w:sz w:val="24"/>
          <w:szCs w:val="24"/>
        </w:rPr>
        <w:t>Qualidade do projeto</w:t>
      </w:r>
    </w:p>
    <w:p w14:paraId="7E7CBC16" w14:textId="152A6904" w:rsidR="00A95627" w:rsidRPr="00243585" w:rsidRDefault="00A95627" w:rsidP="00A95627">
      <w:r w:rsidRPr="00243585">
        <w:t>O projeto de uma estrutura de alvenaria</w:t>
      </w:r>
      <w:r w:rsidR="00C60E77" w:rsidRPr="00243585">
        <w:t xml:space="preserve"> com composto polimérico</w:t>
      </w:r>
      <w:r w:rsidRPr="00243585">
        <w:t xml:space="preserve"> deve ser elaborado, adotando-se:</w:t>
      </w:r>
    </w:p>
    <w:p w14:paraId="1248811F" w14:textId="1442201A" w:rsidR="00A95627" w:rsidRPr="00243585" w:rsidRDefault="00A95627" w:rsidP="006B7806">
      <w:pPr>
        <w:pStyle w:val="PargrafodaLista"/>
        <w:numPr>
          <w:ilvl w:val="0"/>
          <w:numId w:val="9"/>
        </w:numPr>
        <w:ind w:left="357" w:hanging="357"/>
      </w:pPr>
      <w:r w:rsidRPr="00243585">
        <w:t>sistema estrutural adequado à função desejada para a edificação;</w:t>
      </w:r>
    </w:p>
    <w:p w14:paraId="23CA6FAE" w14:textId="36ADB421" w:rsidR="00A95627" w:rsidRPr="00243585" w:rsidRDefault="00A95627" w:rsidP="006B7806">
      <w:pPr>
        <w:pStyle w:val="PargrafodaLista"/>
        <w:numPr>
          <w:ilvl w:val="0"/>
          <w:numId w:val="9"/>
        </w:numPr>
        <w:ind w:left="357" w:hanging="357"/>
      </w:pPr>
      <w:r w:rsidRPr="00243585">
        <w:t>ações compatíveis e representativas;</w:t>
      </w:r>
    </w:p>
    <w:p w14:paraId="282B3005" w14:textId="636AD64A" w:rsidR="00A95627" w:rsidRPr="00243585" w:rsidRDefault="00A95627" w:rsidP="006B7806">
      <w:pPr>
        <w:pStyle w:val="PargrafodaLista"/>
        <w:numPr>
          <w:ilvl w:val="0"/>
          <w:numId w:val="9"/>
        </w:numPr>
        <w:ind w:left="357" w:hanging="357"/>
      </w:pPr>
      <w:r w:rsidRPr="00243585">
        <w:t>dimensionamento e verificação de todos os elementos estruturais presentes;</w:t>
      </w:r>
    </w:p>
    <w:p w14:paraId="2D5C63C7" w14:textId="57B008BF" w:rsidR="00A95627" w:rsidRPr="00243585" w:rsidRDefault="00A95627" w:rsidP="006B7806">
      <w:pPr>
        <w:pStyle w:val="PargrafodaLista"/>
        <w:numPr>
          <w:ilvl w:val="0"/>
          <w:numId w:val="9"/>
        </w:numPr>
        <w:ind w:left="357" w:hanging="357"/>
      </w:pPr>
      <w:r w:rsidRPr="00243585">
        <w:t>especificação de materiais e componentes apropriados e de acordo com os dimensionamentos efetuados;</w:t>
      </w:r>
    </w:p>
    <w:p w14:paraId="4C6C94E5" w14:textId="1121CC30" w:rsidR="00A95627" w:rsidRPr="00243585" w:rsidRDefault="00A95627" w:rsidP="006B7806">
      <w:pPr>
        <w:pStyle w:val="PargrafodaLista"/>
        <w:numPr>
          <w:ilvl w:val="0"/>
          <w:numId w:val="9"/>
        </w:numPr>
        <w:ind w:left="357" w:hanging="357"/>
      </w:pPr>
      <w:r w:rsidRPr="00243585">
        <w:t>procedimentos de controle para projeto.</w:t>
      </w:r>
    </w:p>
    <w:p w14:paraId="13AC2559" w14:textId="204BDB6B" w:rsidR="00A95627" w:rsidRPr="00243585" w:rsidRDefault="00A95627" w:rsidP="00A95627">
      <w:r w:rsidRPr="00243585">
        <w:lastRenderedPageBreak/>
        <w:t xml:space="preserve">O projeto estrutural, antes de ser liberado para execução, deve ser compatibilizado com os projetos das demais especialidades técnicas. As interferências </w:t>
      </w:r>
      <w:r w:rsidR="00715532" w:rsidRPr="00243585">
        <w:t>dos</w:t>
      </w:r>
      <w:r w:rsidRPr="00243585">
        <w:t xml:space="preserve"> projetos em elementos de alvenaria estrutural devem ser solucionadas antes de sua aprovação final</w:t>
      </w:r>
      <w:r w:rsidR="00B6722C" w:rsidRPr="00243585">
        <w:t>.</w:t>
      </w:r>
    </w:p>
    <w:p w14:paraId="4E2174D0" w14:textId="722C8D31" w:rsidR="00A95627" w:rsidRPr="00243585" w:rsidRDefault="00A95627" w:rsidP="00C30C32">
      <w:pPr>
        <w:pStyle w:val="Ttulo2"/>
        <w:ind w:left="431" w:hanging="431"/>
        <w:rPr>
          <w:sz w:val="24"/>
          <w:szCs w:val="24"/>
        </w:rPr>
      </w:pPr>
      <w:r w:rsidRPr="00243585">
        <w:rPr>
          <w:sz w:val="24"/>
          <w:szCs w:val="24"/>
        </w:rPr>
        <w:t>Documentação do projeto</w:t>
      </w:r>
    </w:p>
    <w:p w14:paraId="1B38B527" w14:textId="20C521A8" w:rsidR="00A95627" w:rsidRPr="00243585" w:rsidRDefault="00A95627" w:rsidP="00A95627">
      <w:r w:rsidRPr="00243585">
        <w:t xml:space="preserve">O projeto de estrutura de alvenaria deve ser constituído por desenhos técnicos e especificações. Esses documentos devem conter todas as informações necessárias à execução da estrutura de acordo com os critérios adotados, conforme descrito em </w:t>
      </w:r>
      <w:r w:rsidR="00B6722C" w:rsidRPr="00243585">
        <w:fldChar w:fldCharType="begin"/>
      </w:r>
      <w:r w:rsidR="00B6722C" w:rsidRPr="00243585">
        <w:instrText xml:space="preserve"> REF _Ref186302985 \w \h </w:instrText>
      </w:r>
      <w:r w:rsidR="006D3209" w:rsidRPr="00243585">
        <w:instrText xml:space="preserve"> \* MERGEFORMAT </w:instrText>
      </w:r>
      <w:r w:rsidR="00B6722C" w:rsidRPr="00243585">
        <w:fldChar w:fldCharType="separate"/>
      </w:r>
      <w:r w:rsidR="0024680C" w:rsidRPr="00243585">
        <w:t>5.3.1</w:t>
      </w:r>
      <w:r w:rsidR="00B6722C" w:rsidRPr="00243585">
        <w:fldChar w:fldCharType="end"/>
      </w:r>
      <w:r w:rsidR="00B6722C" w:rsidRPr="00243585">
        <w:t xml:space="preserve"> e </w:t>
      </w:r>
      <w:r w:rsidR="00B6722C" w:rsidRPr="00243585">
        <w:fldChar w:fldCharType="begin"/>
      </w:r>
      <w:r w:rsidR="00B6722C" w:rsidRPr="00243585">
        <w:instrText xml:space="preserve"> REF _Ref186302988 \w \h </w:instrText>
      </w:r>
      <w:r w:rsidR="006D3209" w:rsidRPr="00243585">
        <w:instrText xml:space="preserve"> \* MERGEFORMAT </w:instrText>
      </w:r>
      <w:r w:rsidR="00B6722C" w:rsidRPr="00243585">
        <w:fldChar w:fldCharType="separate"/>
      </w:r>
      <w:r w:rsidR="0024680C" w:rsidRPr="00243585">
        <w:t>5.3.2</w:t>
      </w:r>
      <w:r w:rsidR="00B6722C" w:rsidRPr="00243585">
        <w:fldChar w:fldCharType="end"/>
      </w:r>
      <w:r w:rsidR="00B6722C" w:rsidRPr="00243585">
        <w:t>.</w:t>
      </w:r>
    </w:p>
    <w:p w14:paraId="4E953E98" w14:textId="47D26B8F" w:rsidR="0094070C" w:rsidRPr="00243585" w:rsidRDefault="00501D3D" w:rsidP="00A95627">
      <w:r w:rsidRPr="00243585">
        <w:t>Caso</w:t>
      </w:r>
      <w:r w:rsidR="00B448AB" w:rsidRPr="00243585">
        <w:t xml:space="preserve"> sejam empregados valores </w:t>
      </w:r>
      <w:r w:rsidR="0035127A" w:rsidRPr="00243585">
        <w:t xml:space="preserve">obtidos em ensaios específicos </w:t>
      </w:r>
      <w:r w:rsidR="00B20CAB" w:rsidRPr="00243585">
        <w:t xml:space="preserve">para as propriedades e </w:t>
      </w:r>
      <w:r w:rsidR="00716F64" w:rsidRPr="00243585">
        <w:t xml:space="preserve">resistências indicadas em </w:t>
      </w:r>
      <w:r w:rsidR="00716F64" w:rsidRPr="00243585">
        <w:fldChar w:fldCharType="begin"/>
      </w:r>
      <w:r w:rsidR="00716F64" w:rsidRPr="00243585">
        <w:instrText xml:space="preserve"> REF _Ref186236993 \w \h </w:instrText>
      </w:r>
      <w:r w:rsidR="006D3209" w:rsidRPr="00243585">
        <w:instrText xml:space="preserve"> \* MERGEFORMAT </w:instrText>
      </w:r>
      <w:r w:rsidR="00716F64" w:rsidRPr="00243585">
        <w:fldChar w:fldCharType="separate"/>
      </w:r>
      <w:r w:rsidR="0024680C" w:rsidRPr="00243585">
        <w:t>6.2.2</w:t>
      </w:r>
      <w:r w:rsidR="00716F64" w:rsidRPr="00243585">
        <w:fldChar w:fldCharType="end"/>
      </w:r>
      <w:r w:rsidR="001E0FE7" w:rsidRPr="00243585">
        <w:t xml:space="preserve">, é obrigatório que </w:t>
      </w:r>
      <w:r w:rsidR="005D3C55" w:rsidRPr="00243585">
        <w:t xml:space="preserve">os relatórios comprobatórios </w:t>
      </w:r>
      <w:r w:rsidR="001E0FE7" w:rsidRPr="00243585">
        <w:t>sejam anexados à documentação de projeto</w:t>
      </w:r>
      <w:r w:rsidR="00F042FA" w:rsidRPr="00243585">
        <w:t>.</w:t>
      </w:r>
    </w:p>
    <w:p w14:paraId="698A497F" w14:textId="51E90CC2" w:rsidR="00A95627" w:rsidRPr="00243585" w:rsidRDefault="00A95627" w:rsidP="00D11842">
      <w:pPr>
        <w:pStyle w:val="Ttulo3"/>
        <w:ind w:left="505" w:hanging="505"/>
        <w:rPr>
          <w:i w:val="0"/>
          <w:iCs/>
        </w:rPr>
      </w:pPr>
      <w:bookmarkStart w:id="14" w:name="_Ref186302985"/>
      <w:r w:rsidRPr="00243585">
        <w:rPr>
          <w:i w:val="0"/>
          <w:iCs/>
        </w:rPr>
        <w:t>Desenhos técnicos</w:t>
      </w:r>
      <w:bookmarkEnd w:id="14"/>
    </w:p>
    <w:p w14:paraId="1E8E2C05" w14:textId="0D319B20" w:rsidR="00A95627" w:rsidRPr="00243585" w:rsidRDefault="00A95627" w:rsidP="00A95627">
      <w:r w:rsidRPr="00243585">
        <w:t>O projeto deve apresentar desenhos técnicos detalhando as fiadas diferenciadas e as elevações de todas as paredes</w:t>
      </w:r>
      <w:r w:rsidR="00387F63" w:rsidRPr="00243585">
        <w:t xml:space="preserve"> estruturais</w:t>
      </w:r>
      <w:r w:rsidRPr="00243585">
        <w:t xml:space="preserve">. Devem ser apresentados </w:t>
      </w:r>
      <w:r w:rsidR="00E243BD" w:rsidRPr="00243585">
        <w:t>no mínimo a seguinte documentação</w:t>
      </w:r>
      <w:r w:rsidRPr="00243585">
        <w:t>:</w:t>
      </w:r>
    </w:p>
    <w:p w14:paraId="0088E563" w14:textId="250A504C" w:rsidR="004A3842" w:rsidRPr="00243585" w:rsidRDefault="004A3842" w:rsidP="006B7806">
      <w:pPr>
        <w:pStyle w:val="PargrafodaLista"/>
        <w:numPr>
          <w:ilvl w:val="0"/>
          <w:numId w:val="10"/>
        </w:numPr>
        <w:ind w:left="357" w:hanging="357"/>
      </w:pPr>
      <w:r w:rsidRPr="00243585">
        <w:t>Plantas de primeira e segunda fiadas;</w:t>
      </w:r>
    </w:p>
    <w:p w14:paraId="1F81C7CD" w14:textId="18431553" w:rsidR="00E243BD" w:rsidRPr="00243585" w:rsidRDefault="00E243BD" w:rsidP="006B7806">
      <w:pPr>
        <w:pStyle w:val="PargrafodaLista"/>
        <w:numPr>
          <w:ilvl w:val="0"/>
          <w:numId w:val="10"/>
        </w:numPr>
        <w:ind w:left="357" w:hanging="357"/>
      </w:pPr>
      <w:r w:rsidRPr="00243585">
        <w:t xml:space="preserve">Elevação de todas as paredes </w:t>
      </w:r>
      <w:r w:rsidR="00E200E7" w:rsidRPr="00243585">
        <w:t>estruturais</w:t>
      </w:r>
      <w:r w:rsidRPr="00243585">
        <w:t>, indicando</w:t>
      </w:r>
      <w:r w:rsidR="00E200E7" w:rsidRPr="00243585">
        <w:t>, caso presente:</w:t>
      </w:r>
    </w:p>
    <w:p w14:paraId="37D2CEC7" w14:textId="458D097A" w:rsidR="00A95627" w:rsidRPr="00243585" w:rsidRDefault="00A95627" w:rsidP="00C920AF">
      <w:pPr>
        <w:pStyle w:val="PargrafodaLista"/>
        <w:numPr>
          <w:ilvl w:val="0"/>
          <w:numId w:val="3"/>
        </w:numPr>
        <w:ind w:left="714" w:hanging="357"/>
      </w:pPr>
      <w:r w:rsidRPr="00243585">
        <w:t>posicionamento dos blocos</w:t>
      </w:r>
      <w:r w:rsidR="00757A01" w:rsidRPr="00243585">
        <w:t xml:space="preserve">, </w:t>
      </w:r>
      <w:proofErr w:type="spellStart"/>
      <w:r w:rsidR="00757A01" w:rsidRPr="00243585">
        <w:t>grautes</w:t>
      </w:r>
      <w:proofErr w:type="spellEnd"/>
      <w:r w:rsidR="00757A01" w:rsidRPr="00243585">
        <w:t xml:space="preserve"> horizontais e armações em todas as fiadas</w:t>
      </w:r>
      <w:r w:rsidR="0094070C" w:rsidRPr="00243585">
        <w:t>;</w:t>
      </w:r>
    </w:p>
    <w:p w14:paraId="7EE30980" w14:textId="22B8A989" w:rsidR="003A64AD" w:rsidRPr="00243585" w:rsidRDefault="003A64AD" w:rsidP="00C920AF">
      <w:pPr>
        <w:pStyle w:val="PargrafodaLista"/>
        <w:numPr>
          <w:ilvl w:val="0"/>
          <w:numId w:val="3"/>
        </w:numPr>
        <w:ind w:left="714" w:hanging="357"/>
      </w:pPr>
      <w:r w:rsidRPr="00243585">
        <w:t>posicionamento e detalhamento das juntas horizontais de regularização</w:t>
      </w:r>
      <w:r w:rsidR="0094070C" w:rsidRPr="00243585">
        <w:t>;</w:t>
      </w:r>
    </w:p>
    <w:p w14:paraId="78C438CE" w14:textId="28F1B239" w:rsidR="00B66EE3" w:rsidRPr="00243585" w:rsidRDefault="00BD584E" w:rsidP="00C920AF">
      <w:pPr>
        <w:pStyle w:val="PargrafodaLista"/>
        <w:numPr>
          <w:ilvl w:val="0"/>
          <w:numId w:val="3"/>
        </w:numPr>
        <w:ind w:left="714" w:hanging="357"/>
      </w:pPr>
      <w:r w:rsidRPr="00243585">
        <w:t>definição</w:t>
      </w:r>
      <w:r w:rsidR="00832279" w:rsidRPr="00243585">
        <w:t xml:space="preserve"> do tipo</w:t>
      </w:r>
      <w:r w:rsidR="00A45F58" w:rsidRPr="00243585">
        <w:t xml:space="preserve"> </w:t>
      </w:r>
      <w:r w:rsidR="00BC5BBA" w:rsidRPr="00243585">
        <w:t xml:space="preserve">da laje </w:t>
      </w:r>
      <w:r w:rsidR="00A45F58" w:rsidRPr="00243585">
        <w:t xml:space="preserve">e </w:t>
      </w:r>
      <w:r w:rsidR="00BC5BBA" w:rsidRPr="00243585">
        <w:t>detalhe da ligação</w:t>
      </w:r>
      <w:r w:rsidR="0094070C" w:rsidRPr="00243585">
        <w:t>;</w:t>
      </w:r>
    </w:p>
    <w:p w14:paraId="21434BD8" w14:textId="4FE6268A" w:rsidR="00D10B06" w:rsidRPr="00243585" w:rsidRDefault="00D10B06" w:rsidP="00C920AF">
      <w:pPr>
        <w:pStyle w:val="PargrafodaLista"/>
        <w:numPr>
          <w:ilvl w:val="0"/>
          <w:numId w:val="3"/>
        </w:numPr>
        <w:ind w:left="714" w:hanging="357"/>
      </w:pPr>
      <w:r w:rsidRPr="00243585">
        <w:t xml:space="preserve">reforços de </w:t>
      </w:r>
      <w:proofErr w:type="spellStart"/>
      <w:r w:rsidRPr="00243585">
        <w:t>grautes</w:t>
      </w:r>
      <w:proofErr w:type="spellEnd"/>
      <w:r w:rsidRPr="00243585">
        <w:t xml:space="preserve"> e armaduras</w:t>
      </w:r>
      <w:r w:rsidR="00BC5BBA" w:rsidRPr="00243585">
        <w:t xml:space="preserve"> verticais</w:t>
      </w:r>
      <w:r w:rsidRPr="00243585">
        <w:t>.</w:t>
      </w:r>
    </w:p>
    <w:p w14:paraId="5D6721E5" w14:textId="2A052D64" w:rsidR="00A95627" w:rsidRPr="00243585" w:rsidRDefault="00A95627" w:rsidP="006B7806">
      <w:pPr>
        <w:pStyle w:val="PargrafodaLista"/>
        <w:numPr>
          <w:ilvl w:val="0"/>
          <w:numId w:val="10"/>
        </w:numPr>
        <w:ind w:left="357" w:hanging="357"/>
      </w:pPr>
      <w:r w:rsidRPr="00243585">
        <w:t>detalhes de amarração das paredes</w:t>
      </w:r>
      <w:r w:rsidR="003B29F0" w:rsidRPr="00243585">
        <w:t>;</w:t>
      </w:r>
    </w:p>
    <w:p w14:paraId="4B87F8ED" w14:textId="0B3411EA" w:rsidR="00F80C01" w:rsidRPr="00243585" w:rsidRDefault="00A95627" w:rsidP="006B7806">
      <w:pPr>
        <w:pStyle w:val="PargrafodaLista"/>
        <w:numPr>
          <w:ilvl w:val="0"/>
          <w:numId w:val="10"/>
        </w:numPr>
        <w:ind w:left="357" w:hanging="357"/>
      </w:pPr>
      <w:r w:rsidRPr="00243585">
        <w:t>posicionamento</w:t>
      </w:r>
      <w:r w:rsidR="003A64AD" w:rsidRPr="00243585">
        <w:t xml:space="preserve"> e detalhamento</w:t>
      </w:r>
      <w:r w:rsidRPr="00243585">
        <w:t xml:space="preserve"> das juntas de controle e de dilatação</w:t>
      </w:r>
      <w:r w:rsidR="003A64AD" w:rsidRPr="00243585">
        <w:t>.</w:t>
      </w:r>
    </w:p>
    <w:p w14:paraId="008E6F8C" w14:textId="35A787B4" w:rsidR="00A95627" w:rsidRPr="00243585" w:rsidRDefault="00A95627" w:rsidP="00A74C7C">
      <w:pPr>
        <w:pStyle w:val="Ttulo3"/>
        <w:ind w:left="505" w:hanging="505"/>
        <w:rPr>
          <w:i w:val="0"/>
          <w:iCs/>
        </w:rPr>
      </w:pPr>
      <w:bookmarkStart w:id="15" w:name="_Ref186302988"/>
      <w:r w:rsidRPr="00243585">
        <w:rPr>
          <w:i w:val="0"/>
          <w:iCs/>
        </w:rPr>
        <w:t>Especificações</w:t>
      </w:r>
      <w:bookmarkEnd w:id="15"/>
    </w:p>
    <w:p w14:paraId="451AE9D4" w14:textId="77777777" w:rsidR="00E337C5" w:rsidRPr="00243585" w:rsidRDefault="00A95627" w:rsidP="00A95627">
      <w:r w:rsidRPr="00243585">
        <w:t>As especificações de projeto devem conter</w:t>
      </w:r>
      <w:r w:rsidR="00FC7098" w:rsidRPr="00243585">
        <w:t>,</w:t>
      </w:r>
      <w:r w:rsidR="00E337C5" w:rsidRPr="00243585">
        <w:t xml:space="preserve"> em termos de resistência mecânica:</w:t>
      </w:r>
    </w:p>
    <w:p w14:paraId="1E731C06" w14:textId="6A1DFF48" w:rsidR="0096243A" w:rsidRPr="00243585" w:rsidRDefault="00A95627" w:rsidP="006B7806">
      <w:pPr>
        <w:pStyle w:val="PargrafodaLista"/>
        <w:numPr>
          <w:ilvl w:val="0"/>
          <w:numId w:val="4"/>
        </w:numPr>
        <w:ind w:left="357" w:hanging="357"/>
      </w:pPr>
      <w:r w:rsidRPr="00243585">
        <w:t>as resistências características à compressão</w:t>
      </w:r>
      <w:r w:rsidR="00BC0B46" w:rsidRPr="00243585">
        <w:t xml:space="preserve"> simples</w:t>
      </w:r>
      <w:r w:rsidRPr="00243585">
        <w:t xml:space="preserve"> do </w:t>
      </w:r>
      <w:r w:rsidR="00E337C5" w:rsidRPr="00243585">
        <w:t xml:space="preserve">bloco </w:t>
      </w:r>
      <w:r w:rsidR="00877618" w:rsidRPr="00243585">
        <w:t>(</w:t>
      </w:r>
      <w:r w:rsidR="00877618" w:rsidRPr="00243585">
        <w:rPr>
          <w:i/>
          <w:iCs/>
        </w:rPr>
        <w:t>f</w:t>
      </w:r>
      <w:r w:rsidR="00877618" w:rsidRPr="00243585">
        <w:rPr>
          <w:i/>
          <w:iCs/>
          <w:vertAlign w:val="subscript"/>
        </w:rPr>
        <w:t>bk</w:t>
      </w:r>
      <w:r w:rsidR="00877618" w:rsidRPr="00243585">
        <w:t>)</w:t>
      </w:r>
      <w:r w:rsidR="00E73788" w:rsidRPr="00243585">
        <w:t>, de forma que as resistências de prisma especificadas sejam atingidas;</w:t>
      </w:r>
    </w:p>
    <w:p w14:paraId="65608382" w14:textId="360DBEC2" w:rsidR="003B14C9" w:rsidRPr="00243585" w:rsidRDefault="0096243A" w:rsidP="006B7806">
      <w:pPr>
        <w:pStyle w:val="PargrafodaLista"/>
        <w:numPr>
          <w:ilvl w:val="0"/>
          <w:numId w:val="4"/>
        </w:numPr>
        <w:ind w:left="357" w:hanging="357"/>
      </w:pPr>
      <w:r w:rsidRPr="00243585">
        <w:t xml:space="preserve">a resistência característica à compressão </w:t>
      </w:r>
      <w:r w:rsidR="003B14C9" w:rsidRPr="00243585">
        <w:t>d</w:t>
      </w:r>
      <w:r w:rsidRPr="00243585">
        <w:t xml:space="preserve">e </w:t>
      </w:r>
      <w:r w:rsidR="00A95627" w:rsidRPr="00243585">
        <w:t xml:space="preserve">prisma oco </w:t>
      </w:r>
      <w:r w:rsidR="00B50055" w:rsidRPr="00243585">
        <w:t>(</w:t>
      </w:r>
      <w:proofErr w:type="spellStart"/>
      <w:r w:rsidR="00B50055" w:rsidRPr="00243585">
        <w:rPr>
          <w:i/>
          <w:iCs/>
        </w:rPr>
        <w:t>f</w:t>
      </w:r>
      <w:r w:rsidR="00B50055" w:rsidRPr="00243585">
        <w:rPr>
          <w:i/>
          <w:iCs/>
          <w:vertAlign w:val="subscript"/>
        </w:rPr>
        <w:t>pk</w:t>
      </w:r>
      <w:proofErr w:type="spellEnd"/>
      <w:r w:rsidR="00B50055" w:rsidRPr="00243585">
        <w:t>)</w:t>
      </w:r>
      <w:r w:rsidR="003B14C9" w:rsidRPr="00243585">
        <w:t>;</w:t>
      </w:r>
    </w:p>
    <w:p w14:paraId="00A6956A" w14:textId="3F0B3A79" w:rsidR="00BC0B46" w:rsidRPr="00243585" w:rsidRDefault="00DF76D6" w:rsidP="006B7806">
      <w:pPr>
        <w:pStyle w:val="PargrafodaLista"/>
        <w:numPr>
          <w:ilvl w:val="0"/>
          <w:numId w:val="4"/>
        </w:numPr>
        <w:ind w:left="357" w:hanging="357"/>
      </w:pPr>
      <w:r w:rsidRPr="00243585">
        <w:t>a resistência característica à compressão de pequena parede</w:t>
      </w:r>
      <w:r w:rsidR="00B04C10" w:rsidRPr="00243585">
        <w:t xml:space="preserve"> (</w:t>
      </w:r>
      <w:proofErr w:type="spellStart"/>
      <w:r w:rsidR="00B04C10" w:rsidRPr="00243585">
        <w:rPr>
          <w:i/>
          <w:iCs/>
        </w:rPr>
        <w:t>f</w:t>
      </w:r>
      <w:r w:rsidR="00B04C10" w:rsidRPr="00243585">
        <w:rPr>
          <w:i/>
          <w:iCs/>
          <w:vertAlign w:val="subscript"/>
        </w:rPr>
        <w:t>ppk</w:t>
      </w:r>
      <w:proofErr w:type="spellEnd"/>
      <w:r w:rsidR="00B04C10" w:rsidRPr="00243585">
        <w:t>)</w:t>
      </w:r>
      <w:r w:rsidRPr="00243585">
        <w:t xml:space="preserve">, caso </w:t>
      </w:r>
      <w:r w:rsidR="007E48B9" w:rsidRPr="00243585">
        <w:t>tenha sido adotado valor</w:t>
      </w:r>
      <w:r w:rsidR="00FC65F2" w:rsidRPr="00243585">
        <w:t xml:space="preserve"> de relação pequena parede / prisma</w:t>
      </w:r>
      <w:r w:rsidRPr="00243585">
        <w:t xml:space="preserve"> </w:t>
      </w:r>
      <w:r w:rsidR="00FC65F2" w:rsidRPr="00243585">
        <w:t xml:space="preserve">diferente do especificado nesta norma; </w:t>
      </w:r>
    </w:p>
    <w:p w14:paraId="0FBB4146" w14:textId="45753623" w:rsidR="00891B98" w:rsidRPr="00243585" w:rsidRDefault="00891B98" w:rsidP="006B7806">
      <w:pPr>
        <w:pStyle w:val="PargrafodaLista"/>
        <w:numPr>
          <w:ilvl w:val="0"/>
          <w:numId w:val="4"/>
        </w:numPr>
        <w:ind w:left="357" w:hanging="357"/>
      </w:pPr>
      <w:r w:rsidRPr="00243585">
        <w:t xml:space="preserve">a </w:t>
      </w:r>
      <w:r w:rsidR="002A7E5F" w:rsidRPr="00243585">
        <w:t>especificação</w:t>
      </w:r>
      <w:r w:rsidR="004F357E" w:rsidRPr="00243585">
        <w:t>,</w:t>
      </w:r>
      <w:r w:rsidR="002A7E5F" w:rsidRPr="00243585">
        <w:t xml:space="preserve"> conforme </w:t>
      </w:r>
      <w:r w:rsidR="002908D5" w:rsidRPr="00243585">
        <w:t xml:space="preserve">ABNT </w:t>
      </w:r>
      <w:r w:rsidR="002A7E5F" w:rsidRPr="00243585">
        <w:t>NBR 13281</w:t>
      </w:r>
      <w:r w:rsidR="00E9777B" w:rsidRPr="00243585">
        <w:t>-2</w:t>
      </w:r>
      <w:r w:rsidR="004F357E" w:rsidRPr="00243585">
        <w:t>,</w:t>
      </w:r>
      <w:r w:rsidR="008A1449" w:rsidRPr="00243585">
        <w:t xml:space="preserve"> da argamassa</w:t>
      </w:r>
      <w:r w:rsidR="00E3666F" w:rsidRPr="00243585">
        <w:t xml:space="preserve"> </w:t>
      </w:r>
      <w:r w:rsidR="009428E3" w:rsidRPr="00243585">
        <w:t xml:space="preserve">cimentícia </w:t>
      </w:r>
      <w:r w:rsidR="00E3666F" w:rsidRPr="00243585">
        <w:t>da junta de regularização</w:t>
      </w:r>
      <w:r w:rsidR="008A1449" w:rsidRPr="00243585">
        <w:t xml:space="preserve"> </w:t>
      </w:r>
      <w:r w:rsidR="00E3666F" w:rsidRPr="00243585">
        <w:t xml:space="preserve">e </w:t>
      </w:r>
      <w:r w:rsidR="008A1449" w:rsidRPr="00243585">
        <w:t>para assentamento da primeira fiada</w:t>
      </w:r>
      <w:r w:rsidR="0081378F" w:rsidRPr="00243585">
        <w:t xml:space="preserve">, </w:t>
      </w:r>
      <w:r w:rsidR="00950F06" w:rsidRPr="00243585">
        <w:t xml:space="preserve">conforme indicações em </w:t>
      </w:r>
      <w:r w:rsidR="00E30D9A" w:rsidRPr="00243585">
        <w:t>6.1.3</w:t>
      </w:r>
      <w:r w:rsidR="00A26C47" w:rsidRPr="00243585">
        <w:t>;</w:t>
      </w:r>
    </w:p>
    <w:p w14:paraId="29EF17D5" w14:textId="1A9F3850" w:rsidR="00DB606A" w:rsidRPr="00243585" w:rsidRDefault="00DB606A" w:rsidP="006B7806">
      <w:pPr>
        <w:pStyle w:val="PargrafodaLista"/>
        <w:numPr>
          <w:ilvl w:val="0"/>
          <w:numId w:val="4"/>
        </w:numPr>
        <w:ind w:left="357" w:hanging="357"/>
      </w:pPr>
      <w:r w:rsidRPr="00243585">
        <w:lastRenderedPageBreak/>
        <w:t>a resistência característica à compressão do graute</w:t>
      </w:r>
      <w:r w:rsidR="002A7E5F" w:rsidRPr="00243585">
        <w:t xml:space="preserve"> (</w:t>
      </w:r>
      <w:proofErr w:type="spellStart"/>
      <w:r w:rsidR="002A7E5F" w:rsidRPr="00243585">
        <w:rPr>
          <w:i/>
          <w:iCs/>
        </w:rPr>
        <w:t>f</w:t>
      </w:r>
      <w:r w:rsidR="002A7E5F" w:rsidRPr="00243585">
        <w:rPr>
          <w:i/>
          <w:iCs/>
          <w:vertAlign w:val="subscript"/>
        </w:rPr>
        <w:t>gk</w:t>
      </w:r>
      <w:proofErr w:type="spellEnd"/>
      <w:r w:rsidR="002A7E5F" w:rsidRPr="00243585">
        <w:t>)</w:t>
      </w:r>
      <w:r w:rsidRPr="00243585">
        <w:t>;</w:t>
      </w:r>
    </w:p>
    <w:p w14:paraId="62D215F2" w14:textId="7962F82D" w:rsidR="00BC0B46" w:rsidRPr="00243585" w:rsidRDefault="00A95627" w:rsidP="006B7806">
      <w:pPr>
        <w:pStyle w:val="PargrafodaLista"/>
        <w:numPr>
          <w:ilvl w:val="0"/>
          <w:numId w:val="4"/>
        </w:numPr>
        <w:ind w:left="357" w:hanging="357"/>
      </w:pPr>
      <w:r w:rsidRPr="00243585">
        <w:t xml:space="preserve">a categoria, classe e </w:t>
      </w:r>
      <w:r w:rsidR="00DD46FE" w:rsidRPr="00243585">
        <w:t>diâmetro</w:t>
      </w:r>
      <w:r w:rsidRPr="00243585">
        <w:t xml:space="preserve"> dos aços a serem adotados</w:t>
      </w:r>
      <w:r w:rsidR="00BC0B46" w:rsidRPr="00243585">
        <w:t>;</w:t>
      </w:r>
    </w:p>
    <w:p w14:paraId="3C7089DA" w14:textId="66062544" w:rsidR="002A7E5F" w:rsidRPr="00243585" w:rsidRDefault="002A7E5F" w:rsidP="00D76744">
      <w:pPr>
        <w:pStyle w:val="PargrafodaLista"/>
        <w:numPr>
          <w:ilvl w:val="0"/>
          <w:numId w:val="4"/>
        </w:numPr>
        <w:ind w:left="357" w:hanging="357"/>
      </w:pPr>
      <w:r w:rsidRPr="00243585">
        <w:t xml:space="preserve">a indicação da forma de assentamento do composto polimérico e que esse deve atender a </w:t>
      </w:r>
      <w:r w:rsidR="008D0134" w:rsidRPr="00243585">
        <w:t xml:space="preserve">ABNT </w:t>
      </w:r>
      <w:r w:rsidRPr="00243585">
        <w:t>NBR 16590-1.</w:t>
      </w:r>
    </w:p>
    <w:p w14:paraId="69D37AAF" w14:textId="3C78BD0D" w:rsidR="00A95627" w:rsidRPr="00243585" w:rsidRDefault="00A95627" w:rsidP="008D0134">
      <w:pPr>
        <w:pStyle w:val="Ttulo2"/>
        <w:ind w:left="431" w:hanging="431"/>
        <w:rPr>
          <w:sz w:val="24"/>
          <w:szCs w:val="24"/>
        </w:rPr>
      </w:pPr>
      <w:r w:rsidRPr="00243585">
        <w:rPr>
          <w:sz w:val="24"/>
          <w:szCs w:val="24"/>
        </w:rPr>
        <w:t>Avaliação da conformidade do projeto</w:t>
      </w:r>
    </w:p>
    <w:p w14:paraId="0431BA31" w14:textId="18EA24AF" w:rsidR="00A95627" w:rsidRPr="00243585" w:rsidRDefault="00413B77" w:rsidP="008D0134">
      <w:pPr>
        <w:pStyle w:val="Ttulo2Seo11comttulo"/>
        <w:tabs>
          <w:tab w:val="clear" w:pos="561"/>
          <w:tab w:val="num" w:pos="720"/>
        </w:tabs>
        <w:rPr>
          <w:noProof/>
          <w:lang w:eastAsia="pt-BR"/>
        </w:rPr>
      </w:pPr>
      <w:r w:rsidRPr="00243585">
        <w:rPr>
          <w:rFonts w:eastAsiaTheme="minorHAnsi" w:cs="Arial"/>
          <w:iCs/>
          <w:sz w:val="22"/>
          <w:szCs w:val="22"/>
          <w:lang w:eastAsia="en-US"/>
        </w:rPr>
        <w:t>5.4.1</w:t>
      </w:r>
      <w:r w:rsidRPr="00243585">
        <w:rPr>
          <w:rFonts w:cs="Arial"/>
          <w:b w:val="0"/>
          <w:bCs w:val="0"/>
          <w:noProof/>
          <w:sz w:val="22"/>
          <w:szCs w:val="22"/>
          <w:lang w:eastAsia="pt-BR"/>
        </w:rPr>
        <w:t xml:space="preserve"> </w:t>
      </w:r>
      <w:r w:rsidR="00A95627" w:rsidRPr="00243585">
        <w:rPr>
          <w:rFonts w:cs="Arial"/>
          <w:b w:val="0"/>
          <w:bCs w:val="0"/>
          <w:noProof/>
          <w:sz w:val="22"/>
          <w:szCs w:val="22"/>
          <w:lang w:eastAsia="pt-BR"/>
        </w:rPr>
        <w:t>Entende-se por avaliação de conformidade d</w:t>
      </w:r>
      <w:r w:rsidR="00B73B42" w:rsidRPr="00243585">
        <w:rPr>
          <w:rFonts w:cs="Arial"/>
          <w:b w:val="0"/>
          <w:bCs w:val="0"/>
          <w:noProof/>
          <w:sz w:val="22"/>
          <w:szCs w:val="22"/>
          <w:lang w:eastAsia="pt-BR"/>
        </w:rPr>
        <w:t>o</w:t>
      </w:r>
      <w:r w:rsidR="00A95627" w:rsidRPr="00243585">
        <w:rPr>
          <w:rFonts w:cs="Arial"/>
          <w:b w:val="0"/>
          <w:bCs w:val="0"/>
          <w:noProof/>
          <w:sz w:val="22"/>
          <w:szCs w:val="22"/>
          <w:lang w:eastAsia="pt-BR"/>
        </w:rPr>
        <w:t xml:space="preserve"> projeto de estruturas de alvenaria a verificação e a análise crítica do projeto, realizadas com o objetivo de avaliar se o projeto atende aos requisitos aplicáveis.</w:t>
      </w:r>
    </w:p>
    <w:p w14:paraId="6662665C" w14:textId="24A406FD" w:rsidR="0096178A" w:rsidRPr="00243585" w:rsidRDefault="00AE344A" w:rsidP="008D0134">
      <w:pPr>
        <w:pStyle w:val="Ttulo2Seo11comttulo"/>
        <w:tabs>
          <w:tab w:val="clear" w:pos="561"/>
          <w:tab w:val="num" w:pos="720"/>
        </w:tabs>
        <w:rPr>
          <w:rFonts w:eastAsiaTheme="minorHAnsi" w:cs="Arial"/>
          <w:iCs/>
          <w:sz w:val="22"/>
          <w:szCs w:val="22"/>
          <w:lang w:eastAsia="en-US"/>
        </w:rPr>
      </w:pPr>
      <w:r w:rsidRPr="00243585">
        <w:rPr>
          <w:rFonts w:eastAsia="Arial" w:cs="Arial"/>
          <w:sz w:val="22"/>
          <w:szCs w:val="22"/>
          <w:lang w:val="pt-PT" w:eastAsia="en-US"/>
        </w:rPr>
        <w:t>5.4.2</w:t>
      </w:r>
      <w:r w:rsidRPr="00243585">
        <w:rPr>
          <w:rFonts w:eastAsiaTheme="minorHAnsi" w:cs="Arial"/>
          <w:iCs/>
          <w:sz w:val="22"/>
          <w:szCs w:val="22"/>
          <w:lang w:eastAsia="en-US"/>
        </w:rPr>
        <w:t xml:space="preserve"> </w:t>
      </w:r>
      <w:r w:rsidR="005C35CC" w:rsidRPr="00243585">
        <w:rPr>
          <w:rFonts w:eastAsiaTheme="minorHAnsi" w:cs="Arial"/>
          <w:b w:val="0"/>
          <w:bCs w:val="0"/>
          <w:iCs/>
          <w:sz w:val="22"/>
          <w:szCs w:val="22"/>
          <w:lang w:eastAsia="en-US"/>
        </w:rPr>
        <w:t xml:space="preserve">A avaliação de conformidade de projeto deve seguir as </w:t>
      </w:r>
      <w:r w:rsidR="00F86CBC" w:rsidRPr="00243585">
        <w:rPr>
          <w:rFonts w:eastAsiaTheme="minorHAnsi" w:cs="Arial"/>
          <w:b w:val="0"/>
          <w:bCs w:val="0"/>
          <w:iCs/>
          <w:sz w:val="22"/>
          <w:szCs w:val="22"/>
          <w:lang w:eastAsia="en-US"/>
        </w:rPr>
        <w:t xml:space="preserve">seguintes </w:t>
      </w:r>
      <w:r w:rsidR="005C35CC" w:rsidRPr="00243585">
        <w:rPr>
          <w:rFonts w:eastAsiaTheme="minorHAnsi" w:cs="Arial"/>
          <w:b w:val="0"/>
          <w:bCs w:val="0"/>
          <w:iCs/>
          <w:sz w:val="22"/>
          <w:szCs w:val="22"/>
          <w:lang w:eastAsia="en-US"/>
        </w:rPr>
        <w:t>disposições</w:t>
      </w:r>
      <w:r w:rsidR="00F86CBC" w:rsidRPr="00243585">
        <w:rPr>
          <w:rFonts w:eastAsiaTheme="minorHAnsi" w:cs="Arial"/>
          <w:b w:val="0"/>
          <w:bCs w:val="0"/>
          <w:iCs/>
          <w:sz w:val="22"/>
          <w:szCs w:val="22"/>
          <w:lang w:eastAsia="en-US"/>
        </w:rPr>
        <w:t>:</w:t>
      </w:r>
    </w:p>
    <w:p w14:paraId="66DE4E63" w14:textId="1C56A2FD" w:rsidR="00A95627" w:rsidRPr="00243585" w:rsidRDefault="00A95627" w:rsidP="006B7806">
      <w:pPr>
        <w:pStyle w:val="PargrafodaLista"/>
        <w:numPr>
          <w:ilvl w:val="0"/>
          <w:numId w:val="6"/>
        </w:numPr>
        <w:ind w:left="357" w:hanging="357"/>
      </w:pPr>
      <w:r w:rsidRPr="00243585">
        <w:t xml:space="preserve">verificar se as premissas adotadas para o projeto estão de acordo com o previsto nesta </w:t>
      </w:r>
      <w:r w:rsidR="00B260BF" w:rsidRPr="00243585">
        <w:t xml:space="preserve">norma </w:t>
      </w:r>
      <w:r w:rsidRPr="00243585">
        <w:t>e se todos os seus requisitos foram considerados;</w:t>
      </w:r>
    </w:p>
    <w:p w14:paraId="2C1DDEE8" w14:textId="0B8E47B3" w:rsidR="00A95627" w:rsidRPr="00243585" w:rsidRDefault="00A95627" w:rsidP="006B7806">
      <w:pPr>
        <w:pStyle w:val="PargrafodaLista"/>
        <w:numPr>
          <w:ilvl w:val="0"/>
          <w:numId w:val="6"/>
        </w:numPr>
        <w:ind w:left="357" w:hanging="357"/>
      </w:pPr>
      <w:r w:rsidRPr="00243585">
        <w:t>analisar as considerações de cálculo e verificar os resultados dos cálculos;</w:t>
      </w:r>
    </w:p>
    <w:p w14:paraId="5D4280EB" w14:textId="42B779C9" w:rsidR="00A95627" w:rsidRPr="00243585" w:rsidRDefault="00A95627" w:rsidP="006B7806">
      <w:pPr>
        <w:pStyle w:val="PargrafodaLista"/>
        <w:numPr>
          <w:ilvl w:val="0"/>
          <w:numId w:val="6"/>
        </w:numPr>
        <w:ind w:left="357" w:hanging="357"/>
      </w:pPr>
      <w:r w:rsidRPr="00243585">
        <w:t>analisar os desenhos que compõem o projeto, inclusive os detalhes construtivos</w:t>
      </w:r>
      <w:r w:rsidR="00494605" w:rsidRPr="00243585">
        <w:t>.</w:t>
      </w:r>
    </w:p>
    <w:p w14:paraId="713785BC" w14:textId="52AB9D26" w:rsidR="00A95627" w:rsidRPr="00243585" w:rsidRDefault="00BB6A95" w:rsidP="001D00A0">
      <w:pPr>
        <w:pStyle w:val="Ttulo2Seo11comttulo"/>
        <w:tabs>
          <w:tab w:val="clear" w:pos="561"/>
          <w:tab w:val="num" w:pos="720"/>
        </w:tabs>
        <w:spacing w:line="240" w:lineRule="auto"/>
        <w:rPr>
          <w:rFonts w:eastAsiaTheme="minorHAnsi" w:cs="Arial"/>
          <w:b w:val="0"/>
          <w:bCs w:val="0"/>
          <w:iCs/>
          <w:sz w:val="22"/>
          <w:szCs w:val="22"/>
          <w:lang w:eastAsia="en-US"/>
        </w:rPr>
      </w:pPr>
      <w:r w:rsidRPr="00243585">
        <w:rPr>
          <w:rFonts w:eastAsiaTheme="minorHAnsi" w:cs="Arial"/>
          <w:iCs/>
          <w:sz w:val="22"/>
          <w:szCs w:val="22"/>
          <w:lang w:eastAsia="en-US"/>
        </w:rPr>
        <w:t xml:space="preserve">5.4.3. </w:t>
      </w:r>
      <w:r w:rsidR="003D616A" w:rsidRPr="00243585">
        <w:rPr>
          <w:rFonts w:eastAsiaTheme="minorHAnsi" w:cs="Arial"/>
          <w:b w:val="0"/>
          <w:bCs w:val="0"/>
          <w:iCs/>
          <w:sz w:val="22"/>
          <w:szCs w:val="22"/>
          <w:lang w:eastAsia="en-US"/>
        </w:rPr>
        <w:t>A</w:t>
      </w:r>
      <w:r w:rsidR="00A95627" w:rsidRPr="00243585">
        <w:rPr>
          <w:rFonts w:eastAsiaTheme="minorHAnsi" w:cs="Arial"/>
          <w:b w:val="0"/>
          <w:bCs w:val="0"/>
          <w:iCs/>
          <w:sz w:val="22"/>
          <w:szCs w:val="22"/>
          <w:lang w:eastAsia="en-US"/>
        </w:rPr>
        <w:t xml:space="preserve"> avaliação da conformidade do projeto deve ser realizada por profissional habilitado e independente em relação ao projetista da estrutura. A avaliação deve ser registrada em documento específico que deve acompanhar a documentação do projeto citada nesta </w:t>
      </w:r>
      <w:r w:rsidR="005064AA" w:rsidRPr="00243585">
        <w:rPr>
          <w:rFonts w:eastAsiaTheme="minorHAnsi" w:cs="Arial"/>
          <w:b w:val="0"/>
          <w:bCs w:val="0"/>
          <w:iCs/>
          <w:sz w:val="22"/>
          <w:szCs w:val="22"/>
          <w:lang w:eastAsia="en-US"/>
        </w:rPr>
        <w:t>seção desta Norma</w:t>
      </w:r>
      <w:r w:rsidR="00494605" w:rsidRPr="00243585">
        <w:rPr>
          <w:rFonts w:eastAsiaTheme="minorHAnsi" w:cs="Arial"/>
          <w:b w:val="0"/>
          <w:bCs w:val="0"/>
          <w:iCs/>
          <w:sz w:val="22"/>
          <w:szCs w:val="22"/>
          <w:lang w:eastAsia="en-US"/>
        </w:rPr>
        <w:t>.</w:t>
      </w:r>
    </w:p>
    <w:p w14:paraId="2E045BAF" w14:textId="1CB88CEE" w:rsidR="00A95627" w:rsidRPr="00243585" w:rsidRDefault="002B4787" w:rsidP="001D00A0">
      <w:pPr>
        <w:pStyle w:val="Ttulo2Seo11comttulo"/>
        <w:tabs>
          <w:tab w:val="clear" w:pos="561"/>
          <w:tab w:val="num" w:pos="720"/>
        </w:tabs>
        <w:spacing w:line="240" w:lineRule="auto"/>
        <w:rPr>
          <w:rFonts w:eastAsiaTheme="minorHAnsi" w:cs="Arial"/>
          <w:iCs/>
          <w:sz w:val="22"/>
          <w:szCs w:val="22"/>
          <w:lang w:eastAsia="en-US"/>
        </w:rPr>
      </w:pPr>
      <w:r w:rsidRPr="00243585">
        <w:rPr>
          <w:rFonts w:eastAsiaTheme="minorHAnsi" w:cs="Arial"/>
          <w:iCs/>
          <w:sz w:val="22"/>
          <w:szCs w:val="22"/>
          <w:lang w:eastAsia="en-US"/>
        </w:rPr>
        <w:t xml:space="preserve">5.4.4 </w:t>
      </w:r>
      <w:r w:rsidR="00430E78" w:rsidRPr="00243585">
        <w:rPr>
          <w:rFonts w:eastAsiaTheme="minorHAnsi" w:cs="Arial"/>
          <w:b w:val="0"/>
          <w:bCs w:val="0"/>
          <w:iCs/>
          <w:sz w:val="22"/>
          <w:szCs w:val="22"/>
          <w:lang w:eastAsia="en-US"/>
        </w:rPr>
        <w:t xml:space="preserve">A </w:t>
      </w:r>
      <w:r w:rsidR="00A95627" w:rsidRPr="00243585">
        <w:rPr>
          <w:rFonts w:eastAsiaTheme="minorHAnsi" w:cs="Arial"/>
          <w:b w:val="0"/>
          <w:bCs w:val="0"/>
          <w:iCs/>
          <w:sz w:val="22"/>
          <w:szCs w:val="22"/>
          <w:lang w:eastAsia="en-US"/>
        </w:rPr>
        <w:t>responsabilidade pela escolha do profissional que for realizar a avaliação da conformidade do projeto cabe ao contratante do projeto da estrutura. Esta responsabilidade pode ser do proprietário da obra, que, no caso de não ter os conhecimentos técnicos necessários para a escolha do profissional responsável pela avaliação da conformidade do projeto, pode designar um representante ou preposto para substituí-lo nesta atribuição</w:t>
      </w:r>
      <w:r w:rsidR="00BB6A95" w:rsidRPr="00243585">
        <w:rPr>
          <w:rFonts w:eastAsiaTheme="minorHAnsi" w:cs="Arial"/>
          <w:b w:val="0"/>
          <w:bCs w:val="0"/>
          <w:iCs/>
          <w:sz w:val="22"/>
          <w:szCs w:val="22"/>
          <w:lang w:eastAsia="en-US"/>
        </w:rPr>
        <w:t>.</w:t>
      </w:r>
    </w:p>
    <w:p w14:paraId="031CC9C9" w14:textId="17CD911C" w:rsidR="00A95627" w:rsidRPr="00243585" w:rsidRDefault="004A6E4D" w:rsidP="004A6E4D">
      <w:pPr>
        <w:pStyle w:val="Ttulo2Seo11comttulo"/>
        <w:tabs>
          <w:tab w:val="clear" w:pos="561"/>
          <w:tab w:val="num" w:pos="720"/>
        </w:tabs>
        <w:rPr>
          <w:rFonts w:eastAsiaTheme="minorHAnsi" w:cs="Arial"/>
          <w:iCs/>
          <w:sz w:val="22"/>
          <w:szCs w:val="22"/>
          <w:lang w:eastAsia="en-US"/>
        </w:rPr>
      </w:pPr>
      <w:r w:rsidRPr="00243585">
        <w:rPr>
          <w:rFonts w:eastAsiaTheme="minorHAnsi" w:cs="Arial"/>
          <w:iCs/>
          <w:sz w:val="22"/>
          <w:szCs w:val="22"/>
          <w:lang w:eastAsia="en-US"/>
        </w:rPr>
        <w:t xml:space="preserve">5.4.5. </w:t>
      </w:r>
      <w:r w:rsidR="00A95627" w:rsidRPr="00243585">
        <w:rPr>
          <w:rFonts w:eastAsiaTheme="minorHAnsi" w:cs="Arial"/>
          <w:iCs/>
          <w:sz w:val="22"/>
          <w:szCs w:val="22"/>
          <w:lang w:eastAsia="en-US"/>
        </w:rPr>
        <w:t xml:space="preserve">A avaliação da conformidade do projeto deve </w:t>
      </w:r>
      <w:r w:rsidR="005C35CC" w:rsidRPr="00243585">
        <w:rPr>
          <w:rFonts w:eastAsiaTheme="minorHAnsi" w:cs="Arial"/>
          <w:iCs/>
          <w:sz w:val="22"/>
          <w:szCs w:val="22"/>
          <w:lang w:eastAsia="en-US"/>
        </w:rPr>
        <w:t>ocorrer</w:t>
      </w:r>
      <w:r w:rsidR="00A95627" w:rsidRPr="00243585">
        <w:rPr>
          <w:rFonts w:eastAsiaTheme="minorHAnsi" w:cs="Arial"/>
          <w:iCs/>
          <w:sz w:val="22"/>
          <w:szCs w:val="22"/>
          <w:lang w:eastAsia="en-US"/>
        </w:rPr>
        <w:t xml:space="preserve"> antes da fase de construção e, de preferência, simultaneamente com a fase de projeto</w:t>
      </w:r>
      <w:r w:rsidR="002D45E4" w:rsidRPr="00243585">
        <w:rPr>
          <w:rFonts w:eastAsiaTheme="minorHAnsi" w:cs="Arial"/>
          <w:iCs/>
          <w:sz w:val="22"/>
          <w:szCs w:val="22"/>
          <w:lang w:eastAsia="en-US"/>
        </w:rPr>
        <w:t>.</w:t>
      </w:r>
    </w:p>
    <w:p w14:paraId="7FC75E90" w14:textId="44C599B5" w:rsidR="00A95627" w:rsidRPr="00243585" w:rsidRDefault="00A95627" w:rsidP="00A95627">
      <w:pPr>
        <w:rPr>
          <w:sz w:val="18"/>
          <w:szCs w:val="18"/>
        </w:rPr>
      </w:pPr>
      <w:r w:rsidRPr="00243585">
        <w:rPr>
          <w:sz w:val="18"/>
          <w:szCs w:val="18"/>
        </w:rPr>
        <w:t>NOTA</w:t>
      </w:r>
      <w:r w:rsidR="009D0F31" w:rsidRPr="00243585">
        <w:rPr>
          <w:sz w:val="18"/>
          <w:szCs w:val="18"/>
        </w:rPr>
        <w:tab/>
      </w:r>
      <w:r w:rsidRPr="00243585">
        <w:rPr>
          <w:sz w:val="18"/>
          <w:szCs w:val="18"/>
        </w:rPr>
        <w:t>É recomendável que o profissional escolhido para realizar a avaliação da conformidade do projeto possua experiência em alvenaria</w:t>
      </w:r>
      <w:r w:rsidR="00E92925" w:rsidRPr="00243585">
        <w:rPr>
          <w:sz w:val="18"/>
          <w:szCs w:val="18"/>
        </w:rPr>
        <w:t xml:space="preserve"> estrutural</w:t>
      </w:r>
      <w:r w:rsidRPr="00243585">
        <w:rPr>
          <w:sz w:val="18"/>
          <w:szCs w:val="18"/>
        </w:rPr>
        <w:t>.</w:t>
      </w:r>
    </w:p>
    <w:p w14:paraId="5F83A7C9" w14:textId="6AF57BB2" w:rsidR="00B73B42" w:rsidRPr="00243585" w:rsidRDefault="00A72662" w:rsidP="0038720D">
      <w:pPr>
        <w:pStyle w:val="Ttulo2"/>
        <w:ind w:left="431" w:hanging="431"/>
        <w:rPr>
          <w:sz w:val="24"/>
          <w:szCs w:val="24"/>
        </w:rPr>
      </w:pPr>
      <w:r w:rsidRPr="00243585">
        <w:rPr>
          <w:sz w:val="24"/>
          <w:szCs w:val="24"/>
        </w:rPr>
        <w:t>Dese</w:t>
      </w:r>
      <w:r w:rsidR="008E0B1E" w:rsidRPr="00243585">
        <w:rPr>
          <w:sz w:val="24"/>
          <w:szCs w:val="24"/>
        </w:rPr>
        <w:t>m</w:t>
      </w:r>
      <w:r w:rsidRPr="00243585">
        <w:rPr>
          <w:sz w:val="24"/>
          <w:szCs w:val="24"/>
        </w:rPr>
        <w:t xml:space="preserve">penho de </w:t>
      </w:r>
      <w:r w:rsidR="00951CF0" w:rsidRPr="00243585">
        <w:rPr>
          <w:sz w:val="24"/>
          <w:szCs w:val="24"/>
        </w:rPr>
        <w:t>Segurança</w:t>
      </w:r>
      <w:r w:rsidR="006D3281" w:rsidRPr="00243585">
        <w:rPr>
          <w:sz w:val="24"/>
          <w:szCs w:val="24"/>
        </w:rPr>
        <w:t xml:space="preserve"> </w:t>
      </w:r>
    </w:p>
    <w:p w14:paraId="3298EE12" w14:textId="2528D691" w:rsidR="00E943DB" w:rsidRPr="00243585" w:rsidRDefault="00E943DB" w:rsidP="001D00A0">
      <w:pPr>
        <w:spacing w:line="240" w:lineRule="auto"/>
      </w:pPr>
      <w:r w:rsidRPr="00243585">
        <w:t>Tratando-se de um sistema estrutural de alvenaria para edificações habitacionais, devem ser atendidos todos os requisitos da ABNT NBR 15575-2 e</w:t>
      </w:r>
      <w:r w:rsidR="009C3ACD" w:rsidRPr="00243585">
        <w:br/>
      </w:r>
      <w:r w:rsidRPr="00243585">
        <w:t>ABNT NBR 15575-4.</w:t>
      </w:r>
    </w:p>
    <w:p w14:paraId="3A2913E6" w14:textId="46FC2AFF" w:rsidR="00111733" w:rsidRPr="00243585" w:rsidRDefault="00563939" w:rsidP="001D00A0">
      <w:pPr>
        <w:spacing w:line="240" w:lineRule="auto"/>
      </w:pPr>
      <w:r w:rsidRPr="00243585">
        <w:t>Os desempenhos</w:t>
      </w:r>
      <w:r w:rsidR="008F4351" w:rsidRPr="00243585">
        <w:t xml:space="preserve"> </w:t>
      </w:r>
      <w:r w:rsidRPr="00243585">
        <w:t xml:space="preserve">mínimos </w:t>
      </w:r>
      <w:r w:rsidR="002C36CC" w:rsidRPr="00243585">
        <w:t xml:space="preserve">de segurança </w:t>
      </w:r>
      <w:r w:rsidR="004B37EC" w:rsidRPr="00243585">
        <w:t>estrutural</w:t>
      </w:r>
      <w:r w:rsidR="00692786" w:rsidRPr="00243585">
        <w:t>,</w:t>
      </w:r>
      <w:r w:rsidR="009966F3" w:rsidRPr="00243585">
        <w:t xml:space="preserve"> </w:t>
      </w:r>
      <w:r w:rsidR="00692786" w:rsidRPr="00243585">
        <w:t>segurança no uso</w:t>
      </w:r>
      <w:r w:rsidR="004F58BB" w:rsidRPr="00243585">
        <w:t xml:space="preserve"> e</w:t>
      </w:r>
      <w:r w:rsidR="00692786" w:rsidRPr="00243585">
        <w:t xml:space="preserve"> operação</w:t>
      </w:r>
      <w:r w:rsidR="00B41859" w:rsidRPr="00243585">
        <w:t xml:space="preserve">, e, </w:t>
      </w:r>
      <w:r w:rsidR="00692786" w:rsidRPr="00243585">
        <w:t xml:space="preserve">segurança </w:t>
      </w:r>
      <w:r w:rsidR="0093307B" w:rsidRPr="00243585">
        <w:t>contrafogo</w:t>
      </w:r>
      <w:r w:rsidR="00692786" w:rsidRPr="00243585">
        <w:t xml:space="preserve"> </w:t>
      </w:r>
      <w:r w:rsidR="00011A17" w:rsidRPr="00243585">
        <w:t>para TRRF de 30 min</w:t>
      </w:r>
      <w:r w:rsidR="00E829B9" w:rsidRPr="00243585">
        <w:t xml:space="preserve">, </w:t>
      </w:r>
      <w:r w:rsidR="003B1CC4" w:rsidRPr="00243585">
        <w:t xml:space="preserve">podem ser considerados </w:t>
      </w:r>
      <w:r w:rsidR="0096216E" w:rsidRPr="00243585">
        <w:t>atendidos</w:t>
      </w:r>
      <w:r w:rsidR="003B1CC4" w:rsidRPr="00243585">
        <w:t xml:space="preserve"> desde que:</w:t>
      </w:r>
    </w:p>
    <w:p w14:paraId="6A2AB59F" w14:textId="2F74C40F" w:rsidR="003B1CC4" w:rsidRPr="00243585" w:rsidRDefault="003B1CC4" w:rsidP="001D00A0">
      <w:pPr>
        <w:spacing w:line="240" w:lineRule="auto"/>
      </w:pPr>
      <w:r w:rsidRPr="00243585">
        <w:t xml:space="preserve">- </w:t>
      </w:r>
      <w:proofErr w:type="gramStart"/>
      <w:r w:rsidRPr="00243585">
        <w:t>sejam</w:t>
      </w:r>
      <w:proofErr w:type="gramEnd"/>
      <w:r w:rsidRPr="00243585">
        <w:t xml:space="preserve"> atendidos todos os requisitos de projeto e execução indicados nesta norma;</w:t>
      </w:r>
    </w:p>
    <w:p w14:paraId="35126931" w14:textId="1BB09A29" w:rsidR="00BC19BC" w:rsidRPr="00243585" w:rsidRDefault="003B1CC4" w:rsidP="001D00A0">
      <w:pPr>
        <w:spacing w:line="240" w:lineRule="auto"/>
      </w:pPr>
      <w:r w:rsidRPr="00243585">
        <w:t xml:space="preserve">- </w:t>
      </w:r>
      <w:proofErr w:type="gramStart"/>
      <w:r w:rsidRPr="00243585">
        <w:t>a</w:t>
      </w:r>
      <w:proofErr w:type="gramEnd"/>
      <w:r w:rsidRPr="00243585">
        <w:t xml:space="preserve"> alvenaria seja construída com bloco de concreto ou cerâmico</w:t>
      </w:r>
      <w:r w:rsidR="0025688F" w:rsidRPr="00243585">
        <w:t xml:space="preserve"> com espessura mínima de 14 cm, </w:t>
      </w:r>
      <w:r w:rsidR="00BC19BC" w:rsidRPr="00243585">
        <w:t xml:space="preserve">que atendam às normas ABNT NBR 6136 ou </w:t>
      </w:r>
      <w:r w:rsidR="002908D5" w:rsidRPr="00243585">
        <w:t xml:space="preserve">ABNT </w:t>
      </w:r>
      <w:r w:rsidR="00BC19BC" w:rsidRPr="00243585">
        <w:t>NBR 15270</w:t>
      </w:r>
      <w:r w:rsidR="002908D5" w:rsidRPr="00243585">
        <w:t>-1, respectivamente</w:t>
      </w:r>
      <w:r w:rsidR="00BC19BC" w:rsidRPr="00243585">
        <w:t>;</w:t>
      </w:r>
    </w:p>
    <w:p w14:paraId="4F8C71F2" w14:textId="3CE2A233" w:rsidR="003B1CC4" w:rsidRPr="00243585" w:rsidRDefault="00BC19BC" w:rsidP="00B73B42">
      <w:r w:rsidRPr="00243585">
        <w:lastRenderedPageBreak/>
        <w:t xml:space="preserve">- </w:t>
      </w:r>
      <w:proofErr w:type="gramStart"/>
      <w:r w:rsidRPr="00243585">
        <w:t>seja</w:t>
      </w:r>
      <w:proofErr w:type="gramEnd"/>
      <w:r w:rsidRPr="00243585">
        <w:t xml:space="preserve"> executado</w:t>
      </w:r>
      <w:r w:rsidR="0025688F" w:rsidRPr="00243585">
        <w:t xml:space="preserve"> revestimento mínimo de 10</w:t>
      </w:r>
      <w:r w:rsidR="00C26E05" w:rsidRPr="00243585">
        <w:t xml:space="preserve"> </w:t>
      </w:r>
      <w:r w:rsidR="0025688F" w:rsidRPr="00243585">
        <w:t>mm de argamassa</w:t>
      </w:r>
      <w:r w:rsidR="00CE237D" w:rsidRPr="00243585">
        <w:t xml:space="preserve"> na face interna na parede e de no mínimo 20</w:t>
      </w:r>
      <w:r w:rsidR="00C26E05" w:rsidRPr="00243585">
        <w:t xml:space="preserve"> </w:t>
      </w:r>
      <w:r w:rsidR="00CE237D" w:rsidRPr="00243585">
        <w:t>mm na face externa da parede</w:t>
      </w:r>
      <w:r w:rsidRPr="00243585">
        <w:t xml:space="preserve">, conforme </w:t>
      </w:r>
      <w:r w:rsidR="00B24E24" w:rsidRPr="00243585">
        <w:t xml:space="preserve">ABNT NBR 7200 e </w:t>
      </w:r>
      <w:r w:rsidR="0007462F" w:rsidRPr="00243585">
        <w:t xml:space="preserve">ABNT NBR </w:t>
      </w:r>
      <w:r w:rsidR="00AE7ADC" w:rsidRPr="00243585">
        <w:t>13749</w:t>
      </w:r>
      <w:r w:rsidR="0025688F" w:rsidRPr="00243585">
        <w:t>.</w:t>
      </w:r>
    </w:p>
    <w:p w14:paraId="559B1D8F" w14:textId="490A7487" w:rsidR="002C2BF7" w:rsidRPr="00243585" w:rsidRDefault="002C2BF7" w:rsidP="00B73B42">
      <w:r w:rsidRPr="00243585">
        <w:t xml:space="preserve">Situações de sistemas que </w:t>
      </w:r>
      <w:r w:rsidR="00B44007" w:rsidRPr="00243585">
        <w:t xml:space="preserve">não </w:t>
      </w:r>
      <w:r w:rsidRPr="00243585">
        <w:t>atendam o acima disposto devem ter o desempenho comprovado.</w:t>
      </w:r>
    </w:p>
    <w:p w14:paraId="0D34832C" w14:textId="6984AF12" w:rsidR="007E7324" w:rsidRPr="00243585" w:rsidRDefault="007E7324" w:rsidP="007E7324">
      <w:pPr>
        <w:pStyle w:val="Ttulo1"/>
        <w:rPr>
          <w:sz w:val="26"/>
          <w:szCs w:val="26"/>
        </w:rPr>
      </w:pPr>
      <w:r w:rsidRPr="00243585">
        <w:rPr>
          <w:sz w:val="26"/>
          <w:szCs w:val="26"/>
        </w:rPr>
        <w:t>Propriedades da alvenaria e de seus componentes</w:t>
      </w:r>
    </w:p>
    <w:p w14:paraId="3298E95B" w14:textId="34A43AA8" w:rsidR="007E7324" w:rsidRPr="00243585" w:rsidRDefault="007E7324" w:rsidP="00903F21">
      <w:pPr>
        <w:pStyle w:val="Ttulo2"/>
        <w:ind w:left="431" w:hanging="431"/>
        <w:rPr>
          <w:sz w:val="24"/>
          <w:szCs w:val="24"/>
        </w:rPr>
      </w:pPr>
      <w:r w:rsidRPr="00243585">
        <w:rPr>
          <w:sz w:val="24"/>
          <w:szCs w:val="24"/>
        </w:rPr>
        <w:t>Componentes</w:t>
      </w:r>
    </w:p>
    <w:p w14:paraId="54678776" w14:textId="2DE2B2E2" w:rsidR="007E7324" w:rsidRPr="00243585" w:rsidRDefault="007E7324" w:rsidP="00D11842">
      <w:pPr>
        <w:pStyle w:val="Ttulo3"/>
        <w:ind w:left="505" w:hanging="505"/>
        <w:rPr>
          <w:i w:val="0"/>
          <w:iCs/>
        </w:rPr>
      </w:pPr>
      <w:r w:rsidRPr="00243585">
        <w:rPr>
          <w:i w:val="0"/>
          <w:iCs/>
        </w:rPr>
        <w:t>Blocos</w:t>
      </w:r>
      <w:r w:rsidR="005C35CC" w:rsidRPr="00243585">
        <w:rPr>
          <w:i w:val="0"/>
          <w:iCs/>
        </w:rPr>
        <w:t xml:space="preserve"> </w:t>
      </w:r>
    </w:p>
    <w:p w14:paraId="22C4AA90" w14:textId="50A93273" w:rsidR="007E7324" w:rsidRPr="00243585" w:rsidRDefault="007E7324" w:rsidP="00903F21">
      <w:pPr>
        <w:spacing w:after="0" w:line="240" w:lineRule="auto"/>
      </w:pPr>
      <w:r w:rsidRPr="00243585">
        <w:t>A especificação dos blocos de concreto deve ser feita de acordo com a</w:t>
      </w:r>
      <w:r w:rsidR="00D0429E" w:rsidRPr="00243585">
        <w:br/>
      </w:r>
      <w:r w:rsidRPr="00243585">
        <w:t>ABNT NBR 6136.</w:t>
      </w:r>
    </w:p>
    <w:p w14:paraId="1A6E38E6" w14:textId="77777777" w:rsidR="00903F21" w:rsidRPr="00243585" w:rsidRDefault="00903F21" w:rsidP="00903F21">
      <w:pPr>
        <w:spacing w:after="0" w:line="240" w:lineRule="auto"/>
      </w:pPr>
    </w:p>
    <w:p w14:paraId="62284FA3" w14:textId="53CF21FC" w:rsidR="007E7324" w:rsidRPr="00243585" w:rsidRDefault="007E7324" w:rsidP="00407258">
      <w:pPr>
        <w:spacing w:after="120" w:line="240" w:lineRule="auto"/>
      </w:pPr>
      <w:r w:rsidRPr="00243585">
        <w:t>A especificação dos blocos cerâmicos deve ser feita de acordo com a</w:t>
      </w:r>
      <w:r w:rsidR="00D0429E" w:rsidRPr="00243585">
        <w:br/>
      </w:r>
      <w:r w:rsidRPr="00243585">
        <w:t>ABNT</w:t>
      </w:r>
      <w:r w:rsidR="00D0429E" w:rsidRPr="00243585">
        <w:t xml:space="preserve"> </w:t>
      </w:r>
      <w:r w:rsidRPr="00243585">
        <w:t>NBR 15270</w:t>
      </w:r>
      <w:r w:rsidR="00B36A8C" w:rsidRPr="00243585">
        <w:t>-1</w:t>
      </w:r>
      <w:r w:rsidRPr="00243585">
        <w:t>.</w:t>
      </w:r>
    </w:p>
    <w:p w14:paraId="3CCAD281" w14:textId="77777777" w:rsidR="00903F21" w:rsidRPr="00243585" w:rsidRDefault="00903F21" w:rsidP="00903F21">
      <w:pPr>
        <w:spacing w:after="0" w:line="240" w:lineRule="auto"/>
      </w:pPr>
    </w:p>
    <w:p w14:paraId="49050FC1" w14:textId="57501038" w:rsidR="007E7324" w:rsidRPr="00243585" w:rsidRDefault="00472F15" w:rsidP="00D11842">
      <w:pPr>
        <w:pStyle w:val="Ttulo3"/>
        <w:ind w:left="505" w:hanging="505"/>
        <w:rPr>
          <w:i w:val="0"/>
          <w:iCs/>
        </w:rPr>
      </w:pPr>
      <w:r w:rsidRPr="00243585">
        <w:rPr>
          <w:i w:val="0"/>
          <w:iCs/>
        </w:rPr>
        <w:t>Composto polimérico</w:t>
      </w:r>
    </w:p>
    <w:p w14:paraId="1D2AF5AD" w14:textId="2D6A16D3" w:rsidR="00AE7F38" w:rsidRPr="00243585" w:rsidRDefault="00472F15" w:rsidP="00052106">
      <w:r w:rsidRPr="00243585">
        <w:t xml:space="preserve">O composto polimérico não cimentício deve ser </w:t>
      </w:r>
      <w:r w:rsidR="00DF658E" w:rsidRPr="00243585">
        <w:t xml:space="preserve">especificado conforme as </w:t>
      </w:r>
      <w:r w:rsidRPr="00243585">
        <w:t>diretrizes da ABNT NBR 16590</w:t>
      </w:r>
      <w:r w:rsidR="00E96AAD" w:rsidRPr="00243585">
        <w:t>-1</w:t>
      </w:r>
      <w:r w:rsidRPr="00243585">
        <w:t xml:space="preserve"> e atender integralmente </w:t>
      </w:r>
      <w:r w:rsidR="00227612" w:rsidRPr="00243585">
        <w:t>aos</w:t>
      </w:r>
      <w:r w:rsidRPr="00243585">
        <w:t xml:space="preserve"> </w:t>
      </w:r>
      <w:r w:rsidR="00227612" w:rsidRPr="00243585">
        <w:t>requisitos</w:t>
      </w:r>
      <w:r w:rsidR="00E96AAD" w:rsidRPr="00243585">
        <w:t xml:space="preserve"> da ABNT NBR 16590-2.</w:t>
      </w:r>
    </w:p>
    <w:p w14:paraId="33BA2697" w14:textId="14B402AD" w:rsidR="00F0083A" w:rsidRPr="00243585" w:rsidRDefault="00F0083A" w:rsidP="00D11842">
      <w:pPr>
        <w:pStyle w:val="Ttulo3"/>
        <w:ind w:left="505" w:hanging="505"/>
        <w:rPr>
          <w:i w:val="0"/>
          <w:iCs/>
        </w:rPr>
      </w:pPr>
      <w:r w:rsidRPr="00243585">
        <w:rPr>
          <w:i w:val="0"/>
          <w:iCs/>
        </w:rPr>
        <w:t>Argamassa</w:t>
      </w:r>
    </w:p>
    <w:p w14:paraId="5B969275" w14:textId="460D7082" w:rsidR="003A5F43" w:rsidRPr="00243585" w:rsidRDefault="003A5F43" w:rsidP="003A5F43">
      <w:r w:rsidRPr="00243585">
        <w:t xml:space="preserve">Para </w:t>
      </w:r>
      <w:r w:rsidR="00877DDB" w:rsidRPr="00243585">
        <w:t xml:space="preserve">execução da primeira fiada e da junta </w:t>
      </w:r>
      <w:r w:rsidR="00953C18" w:rsidRPr="00243585">
        <w:t xml:space="preserve">horizontal </w:t>
      </w:r>
      <w:r w:rsidR="00877DDB" w:rsidRPr="00243585">
        <w:t>de regularização de cada parede</w:t>
      </w:r>
      <w:r w:rsidR="00F93D5F" w:rsidRPr="00243585">
        <w:t xml:space="preserve"> deve ser</w:t>
      </w:r>
      <w:r w:rsidR="00A07DF8" w:rsidRPr="00243585">
        <w:t xml:space="preserve"> utilizada</w:t>
      </w:r>
      <w:r w:rsidR="00611112" w:rsidRPr="00243585">
        <w:t xml:space="preserve"> argamassa </w:t>
      </w:r>
      <w:r w:rsidR="00A07DF8" w:rsidRPr="00243585">
        <w:t>cimentí</w:t>
      </w:r>
      <w:r w:rsidR="00953C18" w:rsidRPr="00243585">
        <w:t>cia de classe AAE5 conforme</w:t>
      </w:r>
      <w:r w:rsidR="00D0429E" w:rsidRPr="00243585">
        <w:br/>
      </w:r>
      <w:r w:rsidR="00611112" w:rsidRPr="00243585">
        <w:t>ABNT NBR 13281-2</w:t>
      </w:r>
      <w:r w:rsidR="005F630A" w:rsidRPr="00243585">
        <w:t>.</w:t>
      </w:r>
    </w:p>
    <w:p w14:paraId="76EB513A" w14:textId="3E529BD9" w:rsidR="00AE3525" w:rsidRPr="00243585" w:rsidRDefault="00AE3525" w:rsidP="003A5F43">
      <w:r w:rsidRPr="00243585">
        <w:t>A resistência da argamassa deve ser determinada de acordo com a ABNT NBR 13279</w:t>
      </w:r>
      <w:r w:rsidR="00561366" w:rsidRPr="00243585">
        <w:t xml:space="preserve"> ou de acordo </w:t>
      </w:r>
      <w:r w:rsidR="008724D9" w:rsidRPr="00243585">
        <w:t xml:space="preserve">com o Anexo A da </w:t>
      </w:r>
      <w:r w:rsidR="007273EB" w:rsidRPr="00243585">
        <w:t>ABNT NBR 16868-2</w:t>
      </w:r>
      <w:r w:rsidR="00CF65D7" w:rsidRPr="00243585">
        <w:t>:2020.</w:t>
      </w:r>
    </w:p>
    <w:p w14:paraId="3A8F6A32" w14:textId="53D0B462" w:rsidR="007E7324" w:rsidRPr="00243585" w:rsidRDefault="007E7324" w:rsidP="00D11842">
      <w:pPr>
        <w:pStyle w:val="Ttulo3"/>
        <w:ind w:left="505" w:hanging="505"/>
        <w:rPr>
          <w:i w:val="0"/>
          <w:iCs/>
        </w:rPr>
      </w:pPr>
      <w:r w:rsidRPr="00243585">
        <w:rPr>
          <w:i w:val="0"/>
          <w:iCs/>
        </w:rPr>
        <w:t>Graut</w:t>
      </w:r>
      <w:r w:rsidR="00472F15" w:rsidRPr="00243585">
        <w:rPr>
          <w:i w:val="0"/>
          <w:iCs/>
        </w:rPr>
        <w:t>e</w:t>
      </w:r>
    </w:p>
    <w:p w14:paraId="3D635335" w14:textId="68DDA017" w:rsidR="005F2FE5" w:rsidRPr="00243585" w:rsidRDefault="003E3266" w:rsidP="007E7324">
      <w:r w:rsidRPr="00243585">
        <w:t>A</w:t>
      </w:r>
      <w:r w:rsidR="007E7324" w:rsidRPr="00243585">
        <w:t xml:space="preserve"> influência</w:t>
      </w:r>
      <w:r w:rsidRPr="00243585">
        <w:t xml:space="preserve"> do graute</w:t>
      </w:r>
      <w:r w:rsidR="007E7324" w:rsidRPr="00243585">
        <w:t xml:space="preserve"> na resistência da alvenaria deve ser verificada em laboratório, nas condições de sua utilização</w:t>
      </w:r>
      <w:r w:rsidR="004B4F1B" w:rsidRPr="00243585">
        <w:t>.</w:t>
      </w:r>
    </w:p>
    <w:p w14:paraId="0AA08BF8" w14:textId="7F47BAB3" w:rsidR="007E7324" w:rsidRPr="00243585" w:rsidRDefault="007E7324" w:rsidP="007E7324">
      <w:r w:rsidRPr="00243585">
        <w:t>A avaliação da influência do graute na compressão deve ser fei</w:t>
      </w:r>
      <w:r w:rsidR="00047DE2" w:rsidRPr="00243585">
        <w:t>t</w:t>
      </w:r>
      <w:r w:rsidRPr="00243585">
        <w:t>a mediante o ensaio de compressão de prismas, pequenas paredes ou paredes</w:t>
      </w:r>
      <w:r w:rsidR="007451BA" w:rsidRPr="00243585">
        <w:t>.</w:t>
      </w:r>
    </w:p>
    <w:p w14:paraId="618FAEDA" w14:textId="0BCBD64F" w:rsidR="00F16058" w:rsidRPr="00243585" w:rsidRDefault="001F6622" w:rsidP="00FB33A5">
      <w:pPr>
        <w:pStyle w:val="Pargrafo11pt"/>
        <w:rPr>
          <w:rFonts w:cs="Arial"/>
          <w:szCs w:val="22"/>
        </w:rPr>
      </w:pPr>
      <w:r w:rsidRPr="00243585">
        <w:rPr>
          <w:rFonts w:cs="Arial"/>
          <w:szCs w:val="22"/>
        </w:rPr>
        <w:t>A resistência à compressão característica deve ser especificada com valor mínimo de 15 MPa</w:t>
      </w:r>
      <w:r w:rsidR="00D775BC" w:rsidRPr="00243585">
        <w:rPr>
          <w:rFonts w:cs="Arial"/>
          <w:szCs w:val="22"/>
        </w:rPr>
        <w:t xml:space="preserve"> e </w:t>
      </w:r>
      <w:r w:rsidR="00D775BC" w:rsidRPr="00243585">
        <w:t>o</w:t>
      </w:r>
      <w:r w:rsidR="005F2FE5" w:rsidRPr="00243585">
        <w:t xml:space="preserve"> graute deve </w:t>
      </w:r>
      <w:r w:rsidR="008E6467" w:rsidRPr="00243585">
        <w:t xml:space="preserve">ter resistência a compressão determinada de acordo com </w:t>
      </w:r>
      <w:r w:rsidR="00F16058" w:rsidRPr="00243585">
        <w:rPr>
          <w:rFonts w:cs="Arial"/>
          <w:szCs w:val="22"/>
        </w:rPr>
        <w:t>as</w:t>
      </w:r>
      <w:r w:rsidR="00F16058" w:rsidRPr="00243585">
        <w:rPr>
          <w:rFonts w:ascii="CenturyGothic" w:hAnsi="CenturyGothic"/>
          <w:color w:val="000000"/>
          <w:sz w:val="20"/>
          <w:szCs w:val="20"/>
        </w:rPr>
        <w:br/>
      </w:r>
      <w:r w:rsidR="00F16058" w:rsidRPr="00243585">
        <w:rPr>
          <w:rFonts w:cs="Arial"/>
          <w:szCs w:val="22"/>
        </w:rPr>
        <w:t>ABNT NBR 5738 e ABNT NBR 5739.</w:t>
      </w:r>
    </w:p>
    <w:p w14:paraId="2E25DF24" w14:textId="2C3DC052" w:rsidR="007E7324" w:rsidRPr="00243585" w:rsidRDefault="007E7324" w:rsidP="00D11842">
      <w:pPr>
        <w:pStyle w:val="Ttulo3"/>
        <w:ind w:left="505" w:hanging="505"/>
        <w:rPr>
          <w:i w:val="0"/>
          <w:iCs/>
        </w:rPr>
      </w:pPr>
      <w:bookmarkStart w:id="16" w:name="_Ref186197608"/>
      <w:r w:rsidRPr="00243585">
        <w:rPr>
          <w:i w:val="0"/>
          <w:iCs/>
        </w:rPr>
        <w:t>Aço</w:t>
      </w:r>
      <w:bookmarkEnd w:id="16"/>
    </w:p>
    <w:p w14:paraId="3541AA20" w14:textId="6A4665C8" w:rsidR="007E7324" w:rsidRPr="00243585" w:rsidRDefault="007E7324" w:rsidP="007E7324">
      <w:r w:rsidRPr="00243585">
        <w:t>A especificação do aço deve ser feita de acordo com a ABNT NBR 7480.</w:t>
      </w:r>
    </w:p>
    <w:p w14:paraId="2FDC947D" w14:textId="4E10BC90" w:rsidR="002D2BB5" w:rsidRPr="00243585" w:rsidRDefault="007E7324" w:rsidP="007E7324">
      <w:r w:rsidRPr="00243585">
        <w:t xml:space="preserve">Na falta de ensaios ou valores fornecidos pelo fabricante, pode-se admitir o módulo de elasticidade do aço igual a 210 </w:t>
      </w:r>
      <w:proofErr w:type="spellStart"/>
      <w:r w:rsidRPr="00243585">
        <w:t>GPa</w:t>
      </w:r>
      <w:proofErr w:type="spellEnd"/>
      <w:r w:rsidR="00047DE2" w:rsidRPr="00243585">
        <w:t>.</w:t>
      </w:r>
    </w:p>
    <w:p w14:paraId="731EC0F8" w14:textId="77777777" w:rsidR="002D2BB5" w:rsidRPr="00243585" w:rsidRDefault="002D2BB5">
      <w:pPr>
        <w:spacing w:line="240" w:lineRule="auto"/>
        <w:jc w:val="left"/>
      </w:pPr>
      <w:r w:rsidRPr="00243585">
        <w:br w:type="page"/>
      </w:r>
    </w:p>
    <w:p w14:paraId="3C395E7F" w14:textId="09588A70" w:rsidR="007E7324" w:rsidRPr="00243585" w:rsidRDefault="007E7324" w:rsidP="002D2BB5">
      <w:pPr>
        <w:pStyle w:val="Ttulo2"/>
        <w:ind w:left="432"/>
        <w:rPr>
          <w:sz w:val="24"/>
          <w:szCs w:val="24"/>
        </w:rPr>
      </w:pPr>
      <w:bookmarkStart w:id="17" w:name="_Ref186308963"/>
      <w:r w:rsidRPr="00243585">
        <w:rPr>
          <w:sz w:val="24"/>
          <w:szCs w:val="24"/>
        </w:rPr>
        <w:lastRenderedPageBreak/>
        <w:t>Alvenaria</w:t>
      </w:r>
      <w:bookmarkEnd w:id="17"/>
    </w:p>
    <w:p w14:paraId="73C0D478" w14:textId="2A71A9C8" w:rsidR="007E7324" w:rsidRPr="00243585" w:rsidRDefault="003D547D" w:rsidP="00D11842">
      <w:pPr>
        <w:pStyle w:val="Ttulo3"/>
        <w:ind w:left="505" w:hanging="505"/>
        <w:rPr>
          <w:i w:val="0"/>
          <w:iCs/>
        </w:rPr>
      </w:pPr>
      <w:r w:rsidRPr="00243585">
        <w:rPr>
          <w:i w:val="0"/>
          <w:iCs/>
        </w:rPr>
        <w:t>Especificações</w:t>
      </w:r>
    </w:p>
    <w:p w14:paraId="0E5AE392" w14:textId="0FC6729B" w:rsidR="00B90319" w:rsidRPr="00243585" w:rsidRDefault="00B90319" w:rsidP="007E7324">
      <w:r w:rsidRPr="00243585">
        <w:t>Com relação à geometria, a parede construída com junta amarrada no plano da parede pode ser estrutural. Toda parede com junta não amarrada no seu plano deve ser considerada não estrutural.</w:t>
      </w:r>
    </w:p>
    <w:p w14:paraId="17D059D4" w14:textId="2BBC6E6F" w:rsidR="00184683" w:rsidRPr="00243585" w:rsidRDefault="002231FA" w:rsidP="00903F72">
      <w:r w:rsidRPr="00243585">
        <w:t>A</w:t>
      </w:r>
      <w:r w:rsidR="00E9777B" w:rsidRPr="00243585">
        <w:t xml:space="preserve"> resistência de prisma</w:t>
      </w:r>
      <w:r w:rsidRPr="00243585">
        <w:t xml:space="preserve"> ou </w:t>
      </w:r>
      <w:r w:rsidR="00071B70" w:rsidRPr="00243585">
        <w:t xml:space="preserve">de </w:t>
      </w:r>
      <w:r w:rsidR="00E9777B" w:rsidRPr="00243585">
        <w:t>pequena parede</w:t>
      </w:r>
      <w:r w:rsidR="00071B70" w:rsidRPr="00243585">
        <w:t xml:space="preserve">, com determinação do </w:t>
      </w:r>
      <w:r w:rsidR="00E9777B" w:rsidRPr="00243585">
        <w:t xml:space="preserve">módulo de </w:t>
      </w:r>
      <w:r w:rsidR="00054F65" w:rsidRPr="00243585">
        <w:t>elasticidade</w:t>
      </w:r>
      <w:r w:rsidR="00903F72" w:rsidRPr="00243585">
        <w:t xml:space="preserve">, </w:t>
      </w:r>
      <w:r w:rsidR="00071B70" w:rsidRPr="00243585">
        <w:t>deve</w:t>
      </w:r>
      <w:r w:rsidR="00FA236D" w:rsidRPr="00243585">
        <w:t xml:space="preserve"> </w:t>
      </w:r>
      <w:r w:rsidR="00903F72" w:rsidRPr="00243585">
        <w:t xml:space="preserve">ser determinada </w:t>
      </w:r>
      <w:r w:rsidR="00105811" w:rsidRPr="00243585">
        <w:t>por meio de ensaios</w:t>
      </w:r>
      <w:r w:rsidR="00A31724" w:rsidRPr="00243585">
        <w:t>.</w:t>
      </w:r>
      <w:r w:rsidR="009F371D" w:rsidRPr="00243585">
        <w:t xml:space="preserve"> </w:t>
      </w:r>
      <w:r w:rsidR="00E9777B" w:rsidRPr="00243585">
        <w:t xml:space="preserve">Esses ensaios fazem parte da Caracterização Prévia indicada </w:t>
      </w:r>
      <w:r w:rsidR="00DE273B" w:rsidRPr="00243585">
        <w:t>na parte 2 desta norma</w:t>
      </w:r>
      <w:r w:rsidR="00E9777B" w:rsidRPr="00243585">
        <w:t>.</w:t>
      </w:r>
    </w:p>
    <w:p w14:paraId="6A38AD7C" w14:textId="35C0C5D3" w:rsidR="007E7324" w:rsidRPr="00243585" w:rsidRDefault="007E7324" w:rsidP="00D11842">
      <w:pPr>
        <w:pStyle w:val="Ttulo3"/>
        <w:ind w:left="505" w:hanging="505"/>
        <w:rPr>
          <w:i w:val="0"/>
          <w:iCs/>
        </w:rPr>
      </w:pPr>
      <w:bookmarkStart w:id="18" w:name="_Ref186236993"/>
      <w:r w:rsidRPr="00243585">
        <w:rPr>
          <w:i w:val="0"/>
          <w:iCs/>
        </w:rPr>
        <w:t>Resistências</w:t>
      </w:r>
      <w:bookmarkEnd w:id="18"/>
    </w:p>
    <w:p w14:paraId="77145CD9" w14:textId="29F9C2E0" w:rsidR="007E7324" w:rsidRPr="00243585" w:rsidRDefault="007E7324" w:rsidP="009710DC">
      <w:pPr>
        <w:pStyle w:val="Ttulo4"/>
        <w:rPr>
          <w:i w:val="0"/>
          <w:iCs/>
          <w:u w:val="none"/>
        </w:rPr>
      </w:pPr>
      <w:r w:rsidRPr="00243585">
        <w:rPr>
          <w:i w:val="0"/>
          <w:iCs/>
          <w:u w:val="none"/>
        </w:rPr>
        <w:t>Valores de cálculo</w:t>
      </w:r>
    </w:p>
    <w:p w14:paraId="4C9D0DA2" w14:textId="6BDAB3B8" w:rsidR="009C63E3" w:rsidRPr="00243585" w:rsidRDefault="009C63E3" w:rsidP="009C63E3">
      <w:r w:rsidRPr="00243585">
        <w:t xml:space="preserve">A resistência de cálculo da </w:t>
      </w:r>
      <w:r w:rsidR="007256D2" w:rsidRPr="00243585">
        <w:t xml:space="preserve">alvenaria </w:t>
      </w:r>
      <w:r w:rsidRPr="00243585">
        <w:t>com composto polimérico é obtida pela resistência característica dividida pelo coeficiente de ponderação das resistências.</w:t>
      </w:r>
    </w:p>
    <w:p w14:paraId="0157497D" w14:textId="4F8FF63F" w:rsidR="007E7324" w:rsidRPr="00243585" w:rsidRDefault="007E7324" w:rsidP="001F17A4">
      <w:pPr>
        <w:spacing w:after="0"/>
      </w:pPr>
      <w:r w:rsidRPr="00243585">
        <w:t xml:space="preserve">Os valores </w:t>
      </w:r>
      <w:r w:rsidR="000B36B7" w:rsidRPr="00243585">
        <w:t>dos coeficientes de ponderação das resistência</w:t>
      </w:r>
      <w:r w:rsidR="00DD62D0" w:rsidRPr="00243585">
        <w:t>s</w:t>
      </w:r>
      <w:r w:rsidR="00312226" w:rsidRPr="00243585">
        <w:t xml:space="preserve"> (</w:t>
      </w:r>
      <w:r w:rsidR="0080046A" w:rsidRPr="00243585">
        <w:rPr>
          <w:rFonts w:ascii="Symbol" w:hAnsi="Symbol"/>
        </w:rPr>
        <w:t>g</w:t>
      </w:r>
      <w:r w:rsidR="00312226" w:rsidRPr="00243585">
        <w:rPr>
          <w:vertAlign w:val="subscript"/>
        </w:rPr>
        <w:t>m</w:t>
      </w:r>
      <w:r w:rsidR="00312226" w:rsidRPr="00243585">
        <w:t>)</w:t>
      </w:r>
      <w:r w:rsidR="000B36B7" w:rsidRPr="00243585">
        <w:t xml:space="preserve"> </w:t>
      </w:r>
      <w:r w:rsidRPr="00243585">
        <w:t xml:space="preserve">para verificação no </w:t>
      </w:r>
      <w:r w:rsidR="00D3332B" w:rsidRPr="00243585">
        <w:t>Estado</w:t>
      </w:r>
      <w:r w:rsidRPr="00243585">
        <w:t>-</w:t>
      </w:r>
      <w:r w:rsidR="00D3332B" w:rsidRPr="00243585">
        <w:t xml:space="preserve">Limite Último </w:t>
      </w:r>
      <w:r w:rsidRPr="00243585">
        <w:t>(</w:t>
      </w:r>
      <w:r w:rsidRPr="00243585">
        <w:rPr>
          <w:i/>
          <w:iCs/>
        </w:rPr>
        <w:t>ELU</w:t>
      </w:r>
      <w:r w:rsidRPr="00243585">
        <w:t xml:space="preserve">) estão indicados na Tabela </w:t>
      </w:r>
      <w:r w:rsidR="00702BE5" w:rsidRPr="00243585">
        <w:t>01</w:t>
      </w:r>
      <w:r w:rsidRPr="00243585">
        <w:t xml:space="preserve"> e são adequados para obras executadas de acordo com as especificações </w:t>
      </w:r>
      <w:r w:rsidR="00873282" w:rsidRPr="00243585">
        <w:t xml:space="preserve">da </w:t>
      </w:r>
      <w:r w:rsidR="001F17A4" w:rsidRPr="00243585">
        <w:t>P</w:t>
      </w:r>
      <w:r w:rsidR="00D42063" w:rsidRPr="00243585">
        <w:t>arte 2</w:t>
      </w:r>
      <w:r w:rsidR="00873282" w:rsidRPr="00243585">
        <w:t xml:space="preserve"> desta Norma.</w:t>
      </w:r>
    </w:p>
    <w:p w14:paraId="4F632849" w14:textId="60A2D5DE" w:rsidR="00557CD6" w:rsidRPr="00243585" w:rsidRDefault="00557CD6" w:rsidP="001F17A4">
      <w:pPr>
        <w:pStyle w:val="Legenda"/>
        <w:keepNext/>
        <w:spacing w:before="242" w:after="0"/>
        <w:jc w:val="center"/>
        <w:rPr>
          <w:b/>
          <w:bCs/>
          <w:i w:val="0"/>
          <w:iCs w:val="0"/>
          <w:color w:val="000000" w:themeColor="text1"/>
          <w:sz w:val="22"/>
          <w:szCs w:val="22"/>
        </w:rPr>
      </w:pPr>
      <w:r w:rsidRPr="00243585">
        <w:rPr>
          <w:b/>
          <w:bCs/>
          <w:i w:val="0"/>
          <w:iCs w:val="0"/>
          <w:color w:val="000000" w:themeColor="text1"/>
          <w:sz w:val="22"/>
          <w:szCs w:val="22"/>
        </w:rPr>
        <w:t xml:space="preserve">Tabela </w:t>
      </w:r>
      <w:r w:rsidRPr="00243585">
        <w:rPr>
          <w:b/>
          <w:bCs/>
          <w:i w:val="0"/>
          <w:iCs w:val="0"/>
          <w:color w:val="000000" w:themeColor="text1"/>
          <w:sz w:val="22"/>
          <w:szCs w:val="22"/>
        </w:rPr>
        <w:fldChar w:fldCharType="begin"/>
      </w:r>
      <w:r w:rsidRPr="00243585">
        <w:rPr>
          <w:b/>
          <w:bCs/>
          <w:i w:val="0"/>
          <w:iCs w:val="0"/>
          <w:color w:val="000000" w:themeColor="text1"/>
          <w:sz w:val="22"/>
          <w:szCs w:val="22"/>
        </w:rPr>
        <w:instrText xml:space="preserve"> SEQ Tabela \* ARABIC </w:instrText>
      </w:r>
      <w:r w:rsidRPr="00243585">
        <w:rPr>
          <w:b/>
          <w:bCs/>
          <w:i w:val="0"/>
          <w:iCs w:val="0"/>
          <w:color w:val="000000" w:themeColor="text1"/>
          <w:sz w:val="22"/>
          <w:szCs w:val="22"/>
        </w:rPr>
        <w:fldChar w:fldCharType="separate"/>
      </w:r>
      <w:r w:rsidR="0024680C" w:rsidRPr="00243585">
        <w:rPr>
          <w:b/>
          <w:bCs/>
          <w:i w:val="0"/>
          <w:iCs w:val="0"/>
          <w:noProof/>
          <w:color w:val="000000" w:themeColor="text1"/>
          <w:sz w:val="22"/>
          <w:szCs w:val="22"/>
        </w:rPr>
        <w:t>1</w:t>
      </w:r>
      <w:r w:rsidRPr="00243585">
        <w:rPr>
          <w:b/>
          <w:bCs/>
          <w:i w:val="0"/>
          <w:iCs w:val="0"/>
          <w:color w:val="000000" w:themeColor="text1"/>
          <w:sz w:val="22"/>
          <w:szCs w:val="22"/>
        </w:rPr>
        <w:fldChar w:fldCharType="end"/>
      </w:r>
      <w:r w:rsidR="00702BE5" w:rsidRPr="00243585">
        <w:rPr>
          <w:b/>
          <w:bCs/>
          <w:i w:val="0"/>
          <w:iCs w:val="0"/>
          <w:color w:val="000000" w:themeColor="text1"/>
          <w:sz w:val="22"/>
          <w:szCs w:val="22"/>
        </w:rPr>
        <w:t xml:space="preserve"> —</w:t>
      </w:r>
      <w:r w:rsidR="00EE3B89" w:rsidRPr="00243585">
        <w:rPr>
          <w:b/>
          <w:bCs/>
          <w:i w:val="0"/>
          <w:iCs w:val="0"/>
          <w:color w:val="000000" w:themeColor="text1"/>
          <w:sz w:val="22"/>
          <w:szCs w:val="22"/>
        </w:rPr>
        <w:t xml:space="preserve"> Valores de </w:t>
      </w:r>
      <w:r w:rsidR="00EE3B89" w:rsidRPr="00243585">
        <w:rPr>
          <w:rFonts w:ascii="Symbol" w:hAnsi="Symbol"/>
          <w:b/>
          <w:bCs/>
          <w:i w:val="0"/>
          <w:iCs w:val="0"/>
          <w:color w:val="auto"/>
          <w:sz w:val="22"/>
          <w:szCs w:val="22"/>
        </w:rPr>
        <w:t>g</w:t>
      </w:r>
      <w:r w:rsidR="00EE3B89" w:rsidRPr="00243585">
        <w:rPr>
          <w:b/>
          <w:bCs/>
          <w:i w:val="0"/>
          <w:iCs w:val="0"/>
          <w:color w:val="auto"/>
          <w:sz w:val="22"/>
          <w:szCs w:val="22"/>
          <w:vertAlign w:val="subscript"/>
        </w:rPr>
        <w:t>m</w:t>
      </w:r>
    </w:p>
    <w:tbl>
      <w:tblPr>
        <w:tblStyle w:val="Tabelacomgrade"/>
        <w:tblW w:w="0" w:type="auto"/>
        <w:jc w:val="center"/>
        <w:tblLook w:val="04A0" w:firstRow="1" w:lastRow="0" w:firstColumn="1" w:lastColumn="0" w:noHBand="0" w:noVBand="1"/>
      </w:tblPr>
      <w:tblGrid>
        <w:gridCol w:w="3114"/>
        <w:gridCol w:w="1786"/>
        <w:gridCol w:w="1786"/>
        <w:gridCol w:w="1786"/>
      </w:tblGrid>
      <w:tr w:rsidR="007B360E" w:rsidRPr="00243585" w14:paraId="716ABACC" w14:textId="77777777" w:rsidTr="008030B1">
        <w:trPr>
          <w:jc w:val="center"/>
        </w:trPr>
        <w:tc>
          <w:tcPr>
            <w:tcW w:w="3114" w:type="dxa"/>
          </w:tcPr>
          <w:p w14:paraId="1A82F8D3" w14:textId="48FD1E2E" w:rsidR="007B360E" w:rsidRPr="00243585" w:rsidRDefault="007B360E" w:rsidP="007B360E">
            <w:pPr>
              <w:jc w:val="center"/>
              <w:rPr>
                <w:b/>
                <w:bCs/>
              </w:rPr>
            </w:pPr>
            <w:r w:rsidRPr="00243585">
              <w:rPr>
                <w:b/>
                <w:bCs/>
              </w:rPr>
              <w:t>Combinações</w:t>
            </w:r>
          </w:p>
        </w:tc>
        <w:tc>
          <w:tcPr>
            <w:tcW w:w="1786" w:type="dxa"/>
          </w:tcPr>
          <w:p w14:paraId="2D908960" w14:textId="3B5A4BDC" w:rsidR="007B360E" w:rsidRPr="00243585" w:rsidRDefault="007B360E" w:rsidP="007B360E">
            <w:pPr>
              <w:jc w:val="center"/>
              <w:rPr>
                <w:b/>
                <w:bCs/>
              </w:rPr>
            </w:pPr>
            <w:r w:rsidRPr="00243585">
              <w:rPr>
                <w:b/>
                <w:bCs/>
              </w:rPr>
              <w:t>Alvenaria</w:t>
            </w:r>
          </w:p>
        </w:tc>
        <w:tc>
          <w:tcPr>
            <w:tcW w:w="1786" w:type="dxa"/>
          </w:tcPr>
          <w:p w14:paraId="1CF2EFBC" w14:textId="755DE224" w:rsidR="007B360E" w:rsidRPr="00243585" w:rsidRDefault="007B360E" w:rsidP="007B360E">
            <w:pPr>
              <w:jc w:val="center"/>
              <w:rPr>
                <w:b/>
                <w:bCs/>
              </w:rPr>
            </w:pPr>
            <w:r w:rsidRPr="00243585">
              <w:rPr>
                <w:b/>
                <w:bCs/>
              </w:rPr>
              <w:t>Graute</w:t>
            </w:r>
          </w:p>
        </w:tc>
        <w:tc>
          <w:tcPr>
            <w:tcW w:w="1786" w:type="dxa"/>
          </w:tcPr>
          <w:p w14:paraId="2EE3BA31" w14:textId="0C679D31" w:rsidR="007B360E" w:rsidRPr="00243585" w:rsidRDefault="007B360E" w:rsidP="007B360E">
            <w:pPr>
              <w:jc w:val="center"/>
              <w:rPr>
                <w:b/>
                <w:bCs/>
              </w:rPr>
            </w:pPr>
            <w:r w:rsidRPr="00243585">
              <w:rPr>
                <w:b/>
                <w:bCs/>
              </w:rPr>
              <w:t>Aço</w:t>
            </w:r>
          </w:p>
        </w:tc>
      </w:tr>
      <w:tr w:rsidR="007B360E" w:rsidRPr="00243585" w14:paraId="0334ACE0" w14:textId="77777777" w:rsidTr="008030B1">
        <w:trPr>
          <w:jc w:val="center"/>
        </w:trPr>
        <w:tc>
          <w:tcPr>
            <w:tcW w:w="3114" w:type="dxa"/>
          </w:tcPr>
          <w:p w14:paraId="268D0B83" w14:textId="22D46DBA" w:rsidR="007B360E" w:rsidRPr="00243585" w:rsidRDefault="007B360E" w:rsidP="007E7324">
            <w:r w:rsidRPr="00243585">
              <w:t>Normais</w:t>
            </w:r>
          </w:p>
        </w:tc>
        <w:tc>
          <w:tcPr>
            <w:tcW w:w="1786" w:type="dxa"/>
          </w:tcPr>
          <w:p w14:paraId="0BFF6D8B" w14:textId="4435E57D" w:rsidR="007B360E" w:rsidRPr="00243585" w:rsidRDefault="007B360E" w:rsidP="007B360E">
            <w:pPr>
              <w:jc w:val="center"/>
            </w:pPr>
            <w:r w:rsidRPr="00243585">
              <w:t>2,0</w:t>
            </w:r>
          </w:p>
        </w:tc>
        <w:tc>
          <w:tcPr>
            <w:tcW w:w="1786" w:type="dxa"/>
          </w:tcPr>
          <w:p w14:paraId="611A35E0" w14:textId="7EBC18A0" w:rsidR="007B360E" w:rsidRPr="00243585" w:rsidRDefault="007B360E" w:rsidP="007B360E">
            <w:pPr>
              <w:jc w:val="center"/>
            </w:pPr>
            <w:r w:rsidRPr="00243585">
              <w:t>2,0</w:t>
            </w:r>
          </w:p>
        </w:tc>
        <w:tc>
          <w:tcPr>
            <w:tcW w:w="1786" w:type="dxa"/>
          </w:tcPr>
          <w:p w14:paraId="4591BE0C" w14:textId="0F6FCEBA" w:rsidR="007B360E" w:rsidRPr="00243585" w:rsidRDefault="007B360E" w:rsidP="007B360E">
            <w:pPr>
              <w:jc w:val="center"/>
            </w:pPr>
            <w:r w:rsidRPr="00243585">
              <w:t>1,15</w:t>
            </w:r>
          </w:p>
        </w:tc>
      </w:tr>
      <w:tr w:rsidR="007B360E" w:rsidRPr="00243585" w14:paraId="4B482AE3" w14:textId="77777777" w:rsidTr="008030B1">
        <w:trPr>
          <w:jc w:val="center"/>
        </w:trPr>
        <w:tc>
          <w:tcPr>
            <w:tcW w:w="3114" w:type="dxa"/>
          </w:tcPr>
          <w:p w14:paraId="16D8D10A" w14:textId="78FE893E" w:rsidR="007B360E" w:rsidRPr="00243585" w:rsidRDefault="007B360E" w:rsidP="007E7324">
            <w:r w:rsidRPr="00243585">
              <w:t>Especiais ou de construção</w:t>
            </w:r>
          </w:p>
        </w:tc>
        <w:tc>
          <w:tcPr>
            <w:tcW w:w="1786" w:type="dxa"/>
          </w:tcPr>
          <w:p w14:paraId="16D820F0" w14:textId="6A36C44D" w:rsidR="007B360E" w:rsidRPr="00243585" w:rsidRDefault="007B360E" w:rsidP="007B360E">
            <w:pPr>
              <w:jc w:val="center"/>
            </w:pPr>
            <w:r w:rsidRPr="00243585">
              <w:t>1,5</w:t>
            </w:r>
          </w:p>
        </w:tc>
        <w:tc>
          <w:tcPr>
            <w:tcW w:w="1786" w:type="dxa"/>
          </w:tcPr>
          <w:p w14:paraId="7C74596C" w14:textId="572B4190" w:rsidR="007B360E" w:rsidRPr="00243585" w:rsidRDefault="007B360E" w:rsidP="007B360E">
            <w:pPr>
              <w:jc w:val="center"/>
            </w:pPr>
            <w:r w:rsidRPr="00243585">
              <w:t>1,5</w:t>
            </w:r>
          </w:p>
        </w:tc>
        <w:tc>
          <w:tcPr>
            <w:tcW w:w="1786" w:type="dxa"/>
          </w:tcPr>
          <w:p w14:paraId="169773F5" w14:textId="7E617D28" w:rsidR="007B360E" w:rsidRPr="00243585" w:rsidRDefault="007B360E" w:rsidP="007B360E">
            <w:pPr>
              <w:jc w:val="center"/>
            </w:pPr>
            <w:r w:rsidRPr="00243585">
              <w:t>1,15</w:t>
            </w:r>
          </w:p>
        </w:tc>
      </w:tr>
      <w:tr w:rsidR="007B360E" w:rsidRPr="00243585" w14:paraId="0CFB181D" w14:textId="77777777" w:rsidTr="008030B1">
        <w:trPr>
          <w:jc w:val="center"/>
        </w:trPr>
        <w:tc>
          <w:tcPr>
            <w:tcW w:w="3114" w:type="dxa"/>
          </w:tcPr>
          <w:p w14:paraId="2AA218BD" w14:textId="2751C18E" w:rsidR="007B360E" w:rsidRPr="00243585" w:rsidRDefault="007B360E" w:rsidP="007E7324">
            <w:r w:rsidRPr="00243585">
              <w:t>Excepcionais</w:t>
            </w:r>
          </w:p>
        </w:tc>
        <w:tc>
          <w:tcPr>
            <w:tcW w:w="1786" w:type="dxa"/>
          </w:tcPr>
          <w:p w14:paraId="279BCF12" w14:textId="54581617" w:rsidR="007B360E" w:rsidRPr="00243585" w:rsidRDefault="007B360E" w:rsidP="007B360E">
            <w:pPr>
              <w:jc w:val="center"/>
            </w:pPr>
            <w:r w:rsidRPr="00243585">
              <w:t>1,5</w:t>
            </w:r>
          </w:p>
        </w:tc>
        <w:tc>
          <w:tcPr>
            <w:tcW w:w="1786" w:type="dxa"/>
          </w:tcPr>
          <w:p w14:paraId="1F63B929" w14:textId="288F94D7" w:rsidR="007B360E" w:rsidRPr="00243585" w:rsidRDefault="007B360E" w:rsidP="007B360E">
            <w:pPr>
              <w:jc w:val="center"/>
            </w:pPr>
            <w:r w:rsidRPr="00243585">
              <w:t>1,5</w:t>
            </w:r>
          </w:p>
        </w:tc>
        <w:tc>
          <w:tcPr>
            <w:tcW w:w="1786" w:type="dxa"/>
          </w:tcPr>
          <w:p w14:paraId="4FC328A5" w14:textId="50D92EDD" w:rsidR="007B360E" w:rsidRPr="00243585" w:rsidRDefault="007B360E" w:rsidP="007B360E">
            <w:pPr>
              <w:jc w:val="center"/>
            </w:pPr>
            <w:r w:rsidRPr="00243585">
              <w:t>1,0</w:t>
            </w:r>
            <w:r w:rsidR="000B36B7" w:rsidRPr="00243585">
              <w:t>0</w:t>
            </w:r>
          </w:p>
        </w:tc>
      </w:tr>
    </w:tbl>
    <w:p w14:paraId="5C992AB7" w14:textId="77777777" w:rsidR="007B360E" w:rsidRPr="00243585" w:rsidRDefault="007B360E" w:rsidP="007B360E">
      <w:pPr>
        <w:spacing w:after="0"/>
      </w:pPr>
    </w:p>
    <w:p w14:paraId="206643F8" w14:textId="14FBC718" w:rsidR="007E7324" w:rsidRPr="00243585" w:rsidRDefault="007E7324" w:rsidP="007E7324">
      <w:r w:rsidRPr="00243585">
        <w:t xml:space="preserve">Para verificações do </w:t>
      </w:r>
      <w:r w:rsidR="00D3332B" w:rsidRPr="00243585">
        <w:t xml:space="preserve">Estado Limite de </w:t>
      </w:r>
      <w:r w:rsidR="003876B7" w:rsidRPr="00243585">
        <w:t>Serviço</w:t>
      </w:r>
      <w:r w:rsidR="00D3332B" w:rsidRPr="00243585">
        <w:t xml:space="preserve"> (</w:t>
      </w:r>
      <w:r w:rsidRPr="00243585">
        <w:rPr>
          <w:i/>
          <w:iCs/>
        </w:rPr>
        <w:t>ELS</w:t>
      </w:r>
      <w:r w:rsidR="00D3332B" w:rsidRPr="00243585">
        <w:t>)</w:t>
      </w:r>
      <w:r w:rsidRPr="00243585">
        <w:t xml:space="preserve">, deve ser utilizado o </w:t>
      </w:r>
      <w:r w:rsidR="009710DC" w:rsidRPr="00243585">
        <w:t>valor</w:t>
      </w:r>
      <w:r w:rsidRPr="00243585">
        <w:t xml:space="preserve"> </w:t>
      </w:r>
      <w:r w:rsidR="00B575FB" w:rsidRPr="00243585">
        <w:t xml:space="preserve">do </w:t>
      </w:r>
      <w:r w:rsidR="00312226" w:rsidRPr="00243585">
        <w:t>coeficiente de ponderação das resistência</w:t>
      </w:r>
      <w:r w:rsidR="007D3FC5" w:rsidRPr="00243585">
        <w:t>s</w:t>
      </w:r>
      <w:r w:rsidR="0080046A" w:rsidRPr="00243585">
        <w:t xml:space="preserve"> (</w:t>
      </w:r>
      <w:r w:rsidR="0080046A" w:rsidRPr="00243585">
        <w:rPr>
          <w:rFonts w:ascii="Symbol" w:hAnsi="Symbol"/>
        </w:rPr>
        <w:t>g</w:t>
      </w:r>
      <w:r w:rsidRPr="00243585">
        <w:rPr>
          <w:vertAlign w:val="subscript"/>
        </w:rPr>
        <w:t>m</w:t>
      </w:r>
      <w:r w:rsidR="0080046A" w:rsidRPr="00243585">
        <w:t>)</w:t>
      </w:r>
      <w:r w:rsidRPr="00243585">
        <w:t xml:space="preserve"> = 1,0.</w:t>
      </w:r>
    </w:p>
    <w:p w14:paraId="50E94A09" w14:textId="324DCC08" w:rsidR="007E7324" w:rsidRPr="00243585" w:rsidRDefault="007E7324" w:rsidP="009710DC">
      <w:pPr>
        <w:pStyle w:val="Ttulo4"/>
        <w:rPr>
          <w:i w:val="0"/>
          <w:iCs/>
          <w:u w:val="none"/>
        </w:rPr>
      </w:pPr>
      <w:bookmarkStart w:id="19" w:name="_Ref186210442"/>
      <w:r w:rsidRPr="00243585">
        <w:rPr>
          <w:i w:val="0"/>
          <w:iCs/>
          <w:u w:val="none"/>
        </w:rPr>
        <w:t>Compressão simple</w:t>
      </w:r>
      <w:r w:rsidR="009710DC" w:rsidRPr="00243585">
        <w:rPr>
          <w:i w:val="0"/>
          <w:iCs/>
          <w:u w:val="none"/>
        </w:rPr>
        <w:t>s</w:t>
      </w:r>
      <w:bookmarkEnd w:id="19"/>
    </w:p>
    <w:p w14:paraId="65420C92" w14:textId="47830C4C" w:rsidR="00954D97" w:rsidRPr="00243585" w:rsidRDefault="00954D97" w:rsidP="007E7324">
      <w:r w:rsidRPr="00243585">
        <w:t xml:space="preserve">A resistência característica à compressão simples da alvenaria </w:t>
      </w:r>
      <w:proofErr w:type="spellStart"/>
      <w:r w:rsidRPr="00243585">
        <w:rPr>
          <w:i/>
        </w:rPr>
        <w:t>f</w:t>
      </w:r>
      <w:r w:rsidRPr="00243585">
        <w:rPr>
          <w:i/>
          <w:vertAlign w:val="subscript"/>
        </w:rPr>
        <w:t>k</w:t>
      </w:r>
      <w:proofErr w:type="spellEnd"/>
      <w:r w:rsidRPr="00243585">
        <w:t xml:space="preserve"> pode ser determinada </w:t>
      </w:r>
      <w:r w:rsidR="00492465" w:rsidRPr="00243585">
        <w:t>diretamente a partir</w:t>
      </w:r>
      <w:r w:rsidRPr="00243585">
        <w:t xml:space="preserve"> de paredes, ou </w:t>
      </w:r>
      <w:r w:rsidR="00492465" w:rsidRPr="00243585">
        <w:t>indiretamente através de ensaios de prisma ou de pequena parede.</w:t>
      </w:r>
      <w:r w:rsidR="00295767" w:rsidRPr="00243585">
        <w:t xml:space="preserve"> </w:t>
      </w:r>
      <w:r w:rsidR="00263FEE" w:rsidRPr="00243585">
        <w:t xml:space="preserve">No caso de ensaio de paredes, esse deve refletir os mesmos detalhes </w:t>
      </w:r>
      <w:r w:rsidR="00437FE5" w:rsidRPr="00243585">
        <w:t>construtivos</w:t>
      </w:r>
      <w:r w:rsidR="00263FEE" w:rsidRPr="00243585">
        <w:t xml:space="preserve"> a serem executadas em obra, incluindo o número de cordões de assentamento</w:t>
      </w:r>
      <w:r w:rsidR="00437FE5" w:rsidRPr="00243585">
        <w:t xml:space="preserve"> e</w:t>
      </w:r>
      <w:r w:rsidR="00263FEE" w:rsidRPr="00243585">
        <w:t xml:space="preserve"> </w:t>
      </w:r>
      <w:r w:rsidR="00437FE5" w:rsidRPr="00243585">
        <w:t>presença</w:t>
      </w:r>
      <w:r w:rsidR="00263FEE" w:rsidRPr="00243585">
        <w:t xml:space="preserve"> </w:t>
      </w:r>
      <w:r w:rsidR="007C78EB" w:rsidRPr="00243585">
        <w:t xml:space="preserve">ou não </w:t>
      </w:r>
      <w:r w:rsidR="00263FEE" w:rsidRPr="00243585">
        <w:t>de junta horizontal de regularização</w:t>
      </w:r>
      <w:r w:rsidR="00437FE5" w:rsidRPr="00243585">
        <w:t>.</w:t>
      </w:r>
    </w:p>
    <w:p w14:paraId="2E3B3102" w14:textId="3AA706E7" w:rsidR="0065476B" w:rsidRPr="00243585" w:rsidRDefault="0065476B" w:rsidP="0065476B">
      <w:r w:rsidRPr="00243585">
        <w:t>A resistência de prisma da alvenaria (</w:t>
      </w:r>
      <w:proofErr w:type="spellStart"/>
      <w:r w:rsidRPr="00243585">
        <w:rPr>
          <w:i/>
          <w:iCs/>
        </w:rPr>
        <w:t>f</w:t>
      </w:r>
      <w:r w:rsidRPr="00243585">
        <w:rPr>
          <w:i/>
          <w:iCs/>
          <w:vertAlign w:val="subscript"/>
        </w:rPr>
        <w:t>pk</w:t>
      </w:r>
      <w:proofErr w:type="spellEnd"/>
      <w:r w:rsidRPr="00243585">
        <w:t>)</w:t>
      </w:r>
      <w:r w:rsidR="00E95E92" w:rsidRPr="00243585">
        <w:t xml:space="preserve"> </w:t>
      </w:r>
      <w:r w:rsidRPr="00243585">
        <w:t>deve ser determinada conforme a</w:t>
      </w:r>
      <w:r w:rsidR="003876B7" w:rsidRPr="00243585">
        <w:br/>
      </w:r>
      <w:r w:rsidRPr="00243585">
        <w:t xml:space="preserve">ABNT NBR 16868-3:2020, seção </w:t>
      </w:r>
      <w:r w:rsidR="006C1880" w:rsidRPr="00243585">
        <w:t>6</w:t>
      </w:r>
      <w:r w:rsidR="00C005C7" w:rsidRPr="00243585">
        <w:t xml:space="preserve">, </w:t>
      </w:r>
      <w:r w:rsidR="000B4585" w:rsidRPr="00243585">
        <w:t>com exceção da especificação da espessura da junta.</w:t>
      </w:r>
      <w:r w:rsidRPr="00243585">
        <w:t xml:space="preserve"> </w:t>
      </w:r>
    </w:p>
    <w:p w14:paraId="785545BB" w14:textId="34C0944D" w:rsidR="001D4295" w:rsidRPr="00243585" w:rsidRDefault="001D4295" w:rsidP="001D4295">
      <w:r w:rsidRPr="00243585">
        <w:t xml:space="preserve">A resistência de </w:t>
      </w:r>
      <w:r w:rsidR="00E95E92" w:rsidRPr="00243585">
        <w:t>pequena parede</w:t>
      </w:r>
      <w:r w:rsidRPr="00243585">
        <w:t xml:space="preserve"> da alvenaria (</w:t>
      </w:r>
      <w:proofErr w:type="spellStart"/>
      <w:r w:rsidRPr="00243585">
        <w:rPr>
          <w:i/>
          <w:iCs/>
        </w:rPr>
        <w:t>f</w:t>
      </w:r>
      <w:r w:rsidRPr="00243585">
        <w:rPr>
          <w:i/>
          <w:iCs/>
          <w:vertAlign w:val="subscript"/>
        </w:rPr>
        <w:t>p</w:t>
      </w:r>
      <w:r w:rsidR="00E95E92" w:rsidRPr="00243585">
        <w:rPr>
          <w:i/>
          <w:iCs/>
          <w:vertAlign w:val="subscript"/>
        </w:rPr>
        <w:t>p</w:t>
      </w:r>
      <w:r w:rsidRPr="00243585">
        <w:rPr>
          <w:i/>
          <w:iCs/>
          <w:vertAlign w:val="subscript"/>
        </w:rPr>
        <w:t>k</w:t>
      </w:r>
      <w:proofErr w:type="spellEnd"/>
      <w:r w:rsidRPr="00243585">
        <w:t>)</w:t>
      </w:r>
      <w:r w:rsidR="00054925" w:rsidRPr="00243585">
        <w:t xml:space="preserve"> </w:t>
      </w:r>
      <w:r w:rsidRPr="00243585">
        <w:t xml:space="preserve">deve ser determinada conforme a ABNT NBR 16868-3:2020, seção </w:t>
      </w:r>
      <w:r w:rsidR="00FA4894" w:rsidRPr="00243585">
        <w:t>5</w:t>
      </w:r>
      <w:r w:rsidRPr="00243585">
        <w:t xml:space="preserve">, com exceção da especificação da espessura da junta. </w:t>
      </w:r>
    </w:p>
    <w:p w14:paraId="00AEA074" w14:textId="77777777" w:rsidR="001D4295" w:rsidRPr="00243585" w:rsidRDefault="001D4295" w:rsidP="0065476B"/>
    <w:p w14:paraId="702B4666" w14:textId="63EA9472" w:rsidR="003D20D7" w:rsidRPr="00243585" w:rsidRDefault="007E7324" w:rsidP="002D65F4">
      <w:pPr>
        <w:spacing w:after="0" w:line="240" w:lineRule="auto"/>
      </w:pPr>
      <w:r w:rsidRPr="00243585">
        <w:lastRenderedPageBreak/>
        <w:t xml:space="preserve">No caso de alvenaria de blocos de 190 mm de altura e junta de </w:t>
      </w:r>
      <w:r w:rsidR="009C63E3" w:rsidRPr="00243585">
        <w:t>composto polimérico</w:t>
      </w:r>
      <w:r w:rsidRPr="00243585">
        <w:t xml:space="preserve">, </w:t>
      </w:r>
      <w:r w:rsidR="007D6302" w:rsidRPr="00243585">
        <w:t>a resistência característica à compressão simples da alvenaria</w:t>
      </w:r>
      <w:r w:rsidR="001D4935" w:rsidRPr="00243585">
        <w:t>,</w:t>
      </w:r>
      <w:r w:rsidR="007D6302" w:rsidRPr="00243585">
        <w:t xml:space="preserve"> </w:t>
      </w:r>
      <w:proofErr w:type="spellStart"/>
      <w:r w:rsidR="007D6302" w:rsidRPr="00243585">
        <w:rPr>
          <w:i/>
          <w:iCs/>
        </w:rPr>
        <w:t>f</w:t>
      </w:r>
      <w:r w:rsidR="007D6302" w:rsidRPr="00243585">
        <w:rPr>
          <w:i/>
          <w:iCs/>
          <w:vertAlign w:val="subscript"/>
        </w:rPr>
        <w:t>k</w:t>
      </w:r>
      <w:proofErr w:type="spellEnd"/>
      <w:r w:rsidR="001D4935" w:rsidRPr="00243585">
        <w:rPr>
          <w:i/>
          <w:iCs/>
        </w:rPr>
        <w:t>,</w:t>
      </w:r>
      <w:r w:rsidR="007D6302" w:rsidRPr="00243585">
        <w:t xml:space="preserve"> </w:t>
      </w:r>
      <w:r w:rsidRPr="00243585">
        <w:t>pode ser estimad</w:t>
      </w:r>
      <w:r w:rsidR="00F219EF" w:rsidRPr="00243585">
        <w:t>a</w:t>
      </w:r>
      <w:r w:rsidR="00555246" w:rsidRPr="00243585">
        <w:t xml:space="preserve"> a partir da resistência de prisma, </w:t>
      </w:r>
      <w:proofErr w:type="spellStart"/>
      <w:r w:rsidR="00555246" w:rsidRPr="00243585">
        <w:rPr>
          <w:i/>
          <w:iCs/>
        </w:rPr>
        <w:t>f</w:t>
      </w:r>
      <w:r w:rsidR="00555246" w:rsidRPr="00243585">
        <w:rPr>
          <w:i/>
          <w:iCs/>
          <w:vertAlign w:val="subscript"/>
        </w:rPr>
        <w:t>pk</w:t>
      </w:r>
      <w:proofErr w:type="spellEnd"/>
      <w:r w:rsidR="00555246" w:rsidRPr="00243585">
        <w:t>,</w:t>
      </w:r>
      <w:r w:rsidRPr="00243585">
        <w:t xml:space="preserve"> </w:t>
      </w:r>
      <w:r w:rsidR="00D57B66" w:rsidRPr="00243585">
        <w:t>por:</w:t>
      </w:r>
    </w:p>
    <w:p w14:paraId="734B3CE9" w14:textId="77777777" w:rsidR="005228DA" w:rsidRPr="00243585" w:rsidRDefault="005228DA" w:rsidP="002D65F4">
      <w:pPr>
        <w:spacing w:after="0" w:line="240" w:lineRule="auto"/>
      </w:pPr>
    </w:p>
    <w:p w14:paraId="4DFE4D1F" w14:textId="25389B0A" w:rsidR="00EF6F5A" w:rsidRPr="00243585" w:rsidRDefault="007818C9" w:rsidP="002D65F4">
      <w:pPr>
        <w:spacing w:after="0" w:line="240" w:lineRule="auto"/>
      </w:pPr>
      <w:proofErr w:type="spellStart"/>
      <w:r w:rsidRPr="00243585">
        <w:rPr>
          <w:i/>
          <w:iCs/>
        </w:rPr>
        <w:t>f</w:t>
      </w:r>
      <w:r w:rsidRPr="00243585">
        <w:rPr>
          <w:i/>
          <w:iCs/>
          <w:vertAlign w:val="subscript"/>
        </w:rPr>
        <w:t>k</w:t>
      </w:r>
      <w:proofErr w:type="spellEnd"/>
      <w:r w:rsidRPr="00243585">
        <w:rPr>
          <w:i/>
          <w:iCs/>
        </w:rPr>
        <w:t xml:space="preserve"> </w:t>
      </w:r>
      <w:r w:rsidRPr="00243585">
        <w:t xml:space="preserve">= </w:t>
      </w:r>
      <w:r w:rsidRPr="00243585">
        <w:rPr>
          <w:i/>
          <w:iCs/>
        </w:rPr>
        <w:t>k</w:t>
      </w:r>
      <w:r w:rsidRPr="00243585">
        <w:t xml:space="preserve"> ∙ 0,40 ∙ </w:t>
      </w:r>
      <w:proofErr w:type="spellStart"/>
      <w:r w:rsidRPr="00243585">
        <w:rPr>
          <w:i/>
          <w:iCs/>
        </w:rPr>
        <w:t>f</w:t>
      </w:r>
      <w:r w:rsidRPr="00243585">
        <w:rPr>
          <w:i/>
          <w:iCs/>
          <w:vertAlign w:val="subscript"/>
        </w:rPr>
        <w:t>pk</w:t>
      </w:r>
      <w:proofErr w:type="spellEnd"/>
      <w:r w:rsidRPr="00243585">
        <w:t xml:space="preserve"> </w:t>
      </w:r>
      <w:r w:rsidR="00D014FC" w:rsidRPr="00243585">
        <w:t>≤ 1,4 MPa</w:t>
      </w:r>
    </w:p>
    <w:p w14:paraId="089592F3" w14:textId="77777777" w:rsidR="005228DA" w:rsidRPr="00243585" w:rsidRDefault="005228DA" w:rsidP="002D65F4">
      <w:pPr>
        <w:spacing w:after="0" w:line="240" w:lineRule="auto"/>
      </w:pPr>
    </w:p>
    <w:p w14:paraId="2500ED7A" w14:textId="6E9F27B0" w:rsidR="00563FC8" w:rsidRPr="00243585" w:rsidRDefault="00563FC8" w:rsidP="002D65F4">
      <w:pPr>
        <w:spacing w:after="0" w:line="240" w:lineRule="auto"/>
      </w:pPr>
      <w:r w:rsidRPr="00243585">
        <w:t>ou</w:t>
      </w:r>
    </w:p>
    <w:p w14:paraId="607472AB" w14:textId="77777777" w:rsidR="005228DA" w:rsidRPr="00243585" w:rsidRDefault="005228DA" w:rsidP="002D65F4">
      <w:pPr>
        <w:spacing w:after="0" w:line="240" w:lineRule="auto"/>
      </w:pPr>
    </w:p>
    <w:p w14:paraId="0D1BCF22" w14:textId="6A76D388" w:rsidR="00563FC8" w:rsidRPr="00243585" w:rsidRDefault="00563FC8" w:rsidP="002D65F4">
      <w:pPr>
        <w:spacing w:after="0" w:line="240" w:lineRule="auto"/>
      </w:pPr>
      <w:proofErr w:type="spellStart"/>
      <w:r w:rsidRPr="00243585">
        <w:rPr>
          <w:i/>
          <w:iCs/>
        </w:rPr>
        <w:t>f</w:t>
      </w:r>
      <w:r w:rsidRPr="00243585">
        <w:rPr>
          <w:i/>
          <w:iCs/>
          <w:vertAlign w:val="subscript"/>
        </w:rPr>
        <w:t>k</w:t>
      </w:r>
      <w:proofErr w:type="spellEnd"/>
      <w:r w:rsidRPr="00243585">
        <w:t xml:space="preserve"> = </w:t>
      </w:r>
      <w:r w:rsidRPr="00243585">
        <w:rPr>
          <w:i/>
          <w:iCs/>
        </w:rPr>
        <w:t>k</w:t>
      </w:r>
      <w:r w:rsidRPr="00243585">
        <w:t xml:space="preserve"> ∙ 0,40 ∙ 1,5 ∙ </w:t>
      </w:r>
      <w:proofErr w:type="spellStart"/>
      <w:r w:rsidRPr="00243585">
        <w:rPr>
          <w:i/>
          <w:iCs/>
        </w:rPr>
        <w:t>f</w:t>
      </w:r>
      <w:r w:rsidRPr="00243585">
        <w:rPr>
          <w:i/>
          <w:iCs/>
          <w:vertAlign w:val="subscript"/>
        </w:rPr>
        <w:t>ppk</w:t>
      </w:r>
      <w:proofErr w:type="spellEnd"/>
      <w:r w:rsidRPr="00243585">
        <w:t xml:space="preserve"> ≤ 1,4 MPa</w:t>
      </w:r>
    </w:p>
    <w:p w14:paraId="4C34C48D" w14:textId="77777777" w:rsidR="00563FC8" w:rsidRPr="00243585" w:rsidRDefault="00563FC8" w:rsidP="002D65F4">
      <w:pPr>
        <w:spacing w:after="0" w:line="240" w:lineRule="auto"/>
      </w:pPr>
    </w:p>
    <w:p w14:paraId="42D3F5BD" w14:textId="047E3EA5" w:rsidR="00EF6F5A" w:rsidRPr="00243585" w:rsidRDefault="00D014FC" w:rsidP="002D65F4">
      <w:pPr>
        <w:spacing w:after="0" w:line="240" w:lineRule="auto"/>
      </w:pPr>
      <w:r w:rsidRPr="00243585">
        <w:t>onde:</w:t>
      </w:r>
    </w:p>
    <w:p w14:paraId="447EA482" w14:textId="77777777" w:rsidR="005228DA" w:rsidRPr="00243585" w:rsidRDefault="005228DA" w:rsidP="002D65F4">
      <w:pPr>
        <w:spacing w:after="0" w:line="240" w:lineRule="auto"/>
      </w:pPr>
    </w:p>
    <w:p w14:paraId="5E385AC9" w14:textId="2EF5FC21" w:rsidR="00D014FC" w:rsidRPr="00243585" w:rsidRDefault="00D014FC" w:rsidP="002D65F4">
      <w:pPr>
        <w:spacing w:after="0" w:line="240" w:lineRule="auto"/>
      </w:pPr>
      <w:r w:rsidRPr="00243585">
        <w:rPr>
          <w:i/>
          <w:iCs/>
        </w:rPr>
        <w:t>k</w:t>
      </w:r>
      <w:r w:rsidRPr="00243585">
        <w:t xml:space="preserve"> é o fator junta horizontal de regularização; igual a 0,70 se não for executada junta horizontal de regularização; ou igual a 1,0 de for executado junta horizontal de regularização.</w:t>
      </w:r>
    </w:p>
    <w:p w14:paraId="7644AA23" w14:textId="77777777" w:rsidR="005228DA" w:rsidRPr="00243585" w:rsidRDefault="005228DA" w:rsidP="002D65F4">
      <w:pPr>
        <w:spacing w:after="0" w:line="240" w:lineRule="auto"/>
      </w:pPr>
    </w:p>
    <w:p w14:paraId="5249AF37" w14:textId="1181B5C4" w:rsidR="00BF0D99" w:rsidRPr="00243585" w:rsidRDefault="0050558D" w:rsidP="002D65F4">
      <w:pPr>
        <w:spacing w:after="0" w:line="240" w:lineRule="auto"/>
      </w:pPr>
      <w:r w:rsidRPr="00243585">
        <w:t xml:space="preserve">A resistência de projeto à compressão simples da alvenaria, </w:t>
      </w:r>
      <w:proofErr w:type="spellStart"/>
      <w:r w:rsidRPr="00243585">
        <w:rPr>
          <w:i/>
          <w:iCs/>
        </w:rPr>
        <w:t>f</w:t>
      </w:r>
      <w:r w:rsidRPr="00243585">
        <w:rPr>
          <w:i/>
          <w:iCs/>
          <w:vertAlign w:val="subscript"/>
        </w:rPr>
        <w:t>d</w:t>
      </w:r>
      <w:proofErr w:type="spellEnd"/>
      <w:r w:rsidRPr="00243585">
        <w:t>,</w:t>
      </w:r>
      <w:r w:rsidRPr="00243585">
        <w:rPr>
          <w:i/>
          <w:iCs/>
        </w:rPr>
        <w:t xml:space="preserve"> </w:t>
      </w:r>
      <w:r w:rsidRPr="00243585">
        <w:t>é igual a</w:t>
      </w:r>
      <w:r w:rsidRPr="00243585">
        <w:rPr>
          <w:i/>
          <w:iCs/>
        </w:rPr>
        <w:t xml:space="preserve"> </w:t>
      </w:r>
      <w:proofErr w:type="spellStart"/>
      <w:r w:rsidRPr="00243585">
        <w:rPr>
          <w:i/>
          <w:iCs/>
        </w:rPr>
        <w:t>f</w:t>
      </w:r>
      <w:r w:rsidRPr="00243585">
        <w:rPr>
          <w:i/>
          <w:iCs/>
          <w:vertAlign w:val="subscript"/>
        </w:rPr>
        <w:t>k</w:t>
      </w:r>
      <w:proofErr w:type="spellEnd"/>
      <w:r w:rsidR="00250850" w:rsidRPr="00243585">
        <w:t>/</w:t>
      </w:r>
      <w:r w:rsidR="00250850" w:rsidRPr="00243585">
        <w:rPr>
          <w:rFonts w:ascii="Symbol" w:hAnsi="Symbol"/>
        </w:rPr>
        <w:t>g</w:t>
      </w:r>
      <w:r w:rsidR="00250850" w:rsidRPr="00243585">
        <w:rPr>
          <w:vertAlign w:val="subscript"/>
        </w:rPr>
        <w:t>m</w:t>
      </w:r>
      <w:r w:rsidR="002D65F4" w:rsidRPr="00243585">
        <w:t>.</w:t>
      </w:r>
    </w:p>
    <w:p w14:paraId="11935E36" w14:textId="77777777" w:rsidR="005228DA" w:rsidRPr="00243585" w:rsidRDefault="005228DA" w:rsidP="002D65F4">
      <w:pPr>
        <w:spacing w:after="0" w:line="240" w:lineRule="auto"/>
      </w:pPr>
    </w:p>
    <w:p w14:paraId="23520252" w14:textId="21A12D20" w:rsidR="007E7324" w:rsidRPr="00243585" w:rsidRDefault="007E7324" w:rsidP="00567573">
      <w:pPr>
        <w:pStyle w:val="Ttulo4"/>
        <w:rPr>
          <w:i w:val="0"/>
          <w:iCs/>
          <w:u w:val="none"/>
        </w:rPr>
      </w:pPr>
      <w:bookmarkStart w:id="20" w:name="_Ref186215145"/>
      <w:r w:rsidRPr="00243585">
        <w:rPr>
          <w:i w:val="0"/>
          <w:iCs/>
          <w:u w:val="none"/>
        </w:rPr>
        <w:t>Tração na flexão</w:t>
      </w:r>
      <w:bookmarkEnd w:id="20"/>
    </w:p>
    <w:p w14:paraId="66335EC6" w14:textId="05E4379B" w:rsidR="00C45656" w:rsidRPr="00243585" w:rsidRDefault="00872B06" w:rsidP="00A1661A">
      <w:r w:rsidRPr="00243585">
        <w:t xml:space="preserve">No </w:t>
      </w:r>
      <w:r w:rsidR="0066129D" w:rsidRPr="00243585">
        <w:t>dimensionamento</w:t>
      </w:r>
      <w:r w:rsidRPr="00243585">
        <w:t xml:space="preserve"> da alvenaria</w:t>
      </w:r>
      <w:r w:rsidR="00962C07" w:rsidRPr="00243585">
        <w:t>,</w:t>
      </w:r>
      <w:r w:rsidRPr="00243585">
        <w:t xml:space="preserve"> para flexão no plano ou para flexão fora do plano, deve-se </w:t>
      </w:r>
      <w:r w:rsidR="00965DF2" w:rsidRPr="00243585">
        <w:t xml:space="preserve">considerar </w:t>
      </w:r>
      <w:proofErr w:type="spellStart"/>
      <w:r w:rsidR="00965DF2" w:rsidRPr="00243585">
        <w:rPr>
          <w:i/>
          <w:iCs/>
        </w:rPr>
        <w:t>f</w:t>
      </w:r>
      <w:r w:rsidR="00965DF2" w:rsidRPr="00243585">
        <w:rPr>
          <w:i/>
          <w:iCs/>
          <w:vertAlign w:val="subscript"/>
        </w:rPr>
        <w:t>tk</w:t>
      </w:r>
      <w:proofErr w:type="spellEnd"/>
      <w:r w:rsidR="00965DF2" w:rsidRPr="00243585">
        <w:t xml:space="preserve"> = 0.</w:t>
      </w:r>
    </w:p>
    <w:p w14:paraId="299ADC9D" w14:textId="79192703" w:rsidR="007E7324" w:rsidRPr="00243585" w:rsidRDefault="009710DC" w:rsidP="007E7324">
      <w:pPr>
        <w:pStyle w:val="Ttulo4"/>
        <w:rPr>
          <w:i w:val="0"/>
          <w:iCs/>
          <w:u w:val="none"/>
        </w:rPr>
      </w:pPr>
      <w:bookmarkStart w:id="21" w:name="_Ref186313944"/>
      <w:r w:rsidRPr="00243585">
        <w:rPr>
          <w:i w:val="0"/>
          <w:iCs/>
          <w:u w:val="none"/>
        </w:rPr>
        <w:t>Cisalhamento</w:t>
      </w:r>
      <w:r w:rsidR="007E7324" w:rsidRPr="00243585">
        <w:rPr>
          <w:i w:val="0"/>
          <w:iCs/>
          <w:u w:val="none"/>
        </w:rPr>
        <w:t xml:space="preserve"> na alvenaria</w:t>
      </w:r>
      <w:bookmarkEnd w:id="21"/>
    </w:p>
    <w:p w14:paraId="58B6CB66" w14:textId="44D52A36" w:rsidR="00806033" w:rsidRPr="00243585" w:rsidRDefault="007E7324" w:rsidP="007E7324">
      <w:r w:rsidRPr="00243585">
        <w:t xml:space="preserve">A resistência característica ao cisalhamento </w:t>
      </w:r>
      <w:r w:rsidR="005A5C60" w:rsidRPr="00243585">
        <w:t>da alvenaria</w:t>
      </w:r>
      <w:r w:rsidR="00BC329B" w:rsidRPr="00243585">
        <w:t>,</w:t>
      </w:r>
      <w:r w:rsidR="00CF5883" w:rsidRPr="00243585">
        <w:t xml:space="preserve"> </w:t>
      </w:r>
      <w:proofErr w:type="spellStart"/>
      <w:r w:rsidR="00CF5883" w:rsidRPr="00243585">
        <w:rPr>
          <w:i/>
          <w:iCs/>
        </w:rPr>
        <w:t>f</w:t>
      </w:r>
      <w:r w:rsidR="00CF5883" w:rsidRPr="00243585">
        <w:rPr>
          <w:i/>
          <w:iCs/>
          <w:vertAlign w:val="subscript"/>
        </w:rPr>
        <w:t>vk</w:t>
      </w:r>
      <w:proofErr w:type="spellEnd"/>
      <w:r w:rsidR="00BC329B" w:rsidRPr="00243585">
        <w:t>,</w:t>
      </w:r>
      <w:r w:rsidRPr="00243585">
        <w:t xml:space="preserve"> </w:t>
      </w:r>
      <w:r w:rsidR="00221F46" w:rsidRPr="00243585">
        <w:t>pode ser considerada</w:t>
      </w:r>
      <w:r w:rsidR="00BC329B" w:rsidRPr="00243585">
        <w:t xml:space="preserve"> conforme abaixo:</w:t>
      </w:r>
    </w:p>
    <w:p w14:paraId="79B2B6E8" w14:textId="77777777" w:rsidR="00FC46DA" w:rsidRPr="00243585" w:rsidRDefault="00BC329B" w:rsidP="00FC46DA">
      <w:pPr>
        <w:tabs>
          <w:tab w:val="left" w:pos="7535"/>
        </w:tabs>
      </w:pPr>
      <w:proofErr w:type="spellStart"/>
      <w:r w:rsidRPr="00243585">
        <w:rPr>
          <w:i/>
          <w:iCs/>
        </w:rPr>
        <w:t>f</w:t>
      </w:r>
      <w:r w:rsidRPr="00243585">
        <w:rPr>
          <w:i/>
          <w:iCs/>
          <w:vertAlign w:val="subscript"/>
        </w:rPr>
        <w:t>vk</w:t>
      </w:r>
      <w:proofErr w:type="spellEnd"/>
      <w:r w:rsidRPr="00243585">
        <w:rPr>
          <w:i/>
          <w:iCs/>
        </w:rPr>
        <w:t xml:space="preserve"> </w:t>
      </w:r>
      <w:r w:rsidRPr="00243585">
        <w:t>= 0,5</w:t>
      </w:r>
      <w:r w:rsidR="00BB178E" w:rsidRPr="00243585">
        <w:t>·</w:t>
      </w:r>
      <w:r w:rsidR="00BB178E" w:rsidRPr="00243585">
        <w:rPr>
          <w:rFonts w:ascii="Symbol" w:hAnsi="Symbol"/>
        </w:rPr>
        <w:t>s</w:t>
      </w:r>
      <w:r w:rsidR="00BB178E" w:rsidRPr="00243585">
        <w:t xml:space="preserve"> ≤ 1,4</w:t>
      </w:r>
      <w:r w:rsidR="00BB178E" w:rsidRPr="00243585">
        <w:rPr>
          <w:i/>
          <w:iCs/>
        </w:rPr>
        <w:t xml:space="preserve"> </w:t>
      </w:r>
      <w:r w:rsidR="00BB178E" w:rsidRPr="00243585">
        <w:t>MPa</w:t>
      </w:r>
    </w:p>
    <w:p w14:paraId="49A705E9" w14:textId="2141F077" w:rsidR="00BB178E" w:rsidRPr="00243585" w:rsidRDefault="00BB178E" w:rsidP="00FC46DA">
      <w:pPr>
        <w:tabs>
          <w:tab w:val="left" w:pos="7535"/>
        </w:tabs>
      </w:pPr>
      <w:r w:rsidRPr="00243585">
        <w:t>onde</w:t>
      </w:r>
      <w:r w:rsidR="005A5C60" w:rsidRPr="00243585">
        <w:t>:</w:t>
      </w:r>
    </w:p>
    <w:p w14:paraId="130F29A0" w14:textId="75BE0F2D" w:rsidR="005A5C60" w:rsidRPr="00243585" w:rsidRDefault="005A5C60" w:rsidP="007E7324">
      <w:r w:rsidRPr="00243585">
        <w:rPr>
          <w:rFonts w:hint="eastAsia"/>
        </w:rPr>
        <w:t>σ</w:t>
      </w:r>
      <w:r w:rsidRPr="00243585">
        <w:t xml:space="preserve"> é a tensão normal de </w:t>
      </w:r>
      <w:proofErr w:type="spellStart"/>
      <w:r w:rsidRPr="00243585">
        <w:t>pré</w:t>
      </w:r>
      <w:proofErr w:type="spellEnd"/>
      <w:r w:rsidRPr="00243585">
        <w:t>-compressão na junta, considerando-se apenas as ações permanentes ponderadas por coeficiente igual a 0,9 (ação favorável).</w:t>
      </w:r>
    </w:p>
    <w:p w14:paraId="7154842D" w14:textId="6BC1150C" w:rsidR="00B73B42" w:rsidRPr="00243585" w:rsidRDefault="00567573" w:rsidP="00AF36C3">
      <w:pPr>
        <w:pStyle w:val="Ttulo1"/>
        <w:rPr>
          <w:sz w:val="26"/>
          <w:szCs w:val="26"/>
        </w:rPr>
      </w:pPr>
      <w:r w:rsidRPr="00243585">
        <w:rPr>
          <w:sz w:val="26"/>
          <w:szCs w:val="26"/>
        </w:rPr>
        <w:t>S</w:t>
      </w:r>
      <w:r w:rsidR="007E7324" w:rsidRPr="00243585">
        <w:rPr>
          <w:sz w:val="26"/>
          <w:szCs w:val="26"/>
        </w:rPr>
        <w:t>egurança e estados-limite</w:t>
      </w:r>
    </w:p>
    <w:p w14:paraId="4161C2BA" w14:textId="612CEBE9" w:rsidR="00060C8A" w:rsidRPr="00243585" w:rsidRDefault="00060C8A" w:rsidP="00EB6731">
      <w:r w:rsidRPr="00243585">
        <w:t xml:space="preserve">Esta seção deve seguir </w:t>
      </w:r>
      <w:r w:rsidR="00A26FD5" w:rsidRPr="00243585">
        <w:t>o item correspondente d</w:t>
      </w:r>
      <w:r w:rsidR="00EB6731" w:rsidRPr="00243585">
        <w:t>a ABNT NBR 16868-</w:t>
      </w:r>
      <w:r w:rsidR="00A26FD5" w:rsidRPr="00243585">
        <w:t>1</w:t>
      </w:r>
      <w:r w:rsidRPr="00243585">
        <w:t>.</w:t>
      </w:r>
    </w:p>
    <w:p w14:paraId="28F23653" w14:textId="5188EE25" w:rsidR="0053770F" w:rsidRPr="00243585" w:rsidRDefault="0053770F" w:rsidP="0053770F">
      <w:pPr>
        <w:pStyle w:val="Ttulo1"/>
        <w:rPr>
          <w:sz w:val="26"/>
          <w:szCs w:val="26"/>
        </w:rPr>
      </w:pPr>
      <w:r w:rsidRPr="00243585">
        <w:rPr>
          <w:sz w:val="26"/>
          <w:szCs w:val="26"/>
        </w:rPr>
        <w:t>Ações na análise estrutural</w:t>
      </w:r>
    </w:p>
    <w:p w14:paraId="77DDB6AD" w14:textId="77777777" w:rsidR="003165FF" w:rsidRPr="00243585" w:rsidRDefault="003165FF" w:rsidP="003165FF">
      <w:r w:rsidRPr="00243585">
        <w:t>Esta seção deve seguir o item correspondente da ABNT NBR 16868-1.</w:t>
      </w:r>
    </w:p>
    <w:p w14:paraId="3DA7E2FA" w14:textId="3A468711" w:rsidR="0053770F" w:rsidRPr="00243585" w:rsidRDefault="00CC57AD" w:rsidP="00CC57AD">
      <w:pPr>
        <w:pStyle w:val="Ttulo1"/>
        <w:rPr>
          <w:sz w:val="26"/>
          <w:szCs w:val="26"/>
        </w:rPr>
      </w:pPr>
      <w:r w:rsidRPr="00243585">
        <w:rPr>
          <w:sz w:val="26"/>
          <w:szCs w:val="26"/>
        </w:rPr>
        <w:t>Análise</w:t>
      </w:r>
      <w:r w:rsidR="0053770F" w:rsidRPr="00243585">
        <w:rPr>
          <w:sz w:val="26"/>
          <w:szCs w:val="26"/>
        </w:rPr>
        <w:t xml:space="preserve"> estrutural</w:t>
      </w:r>
    </w:p>
    <w:p w14:paraId="69E40A80" w14:textId="4F914538" w:rsidR="0053770F" w:rsidRPr="00243585" w:rsidRDefault="0053770F" w:rsidP="00AE122B">
      <w:pPr>
        <w:pStyle w:val="Ttulo2"/>
        <w:ind w:left="431" w:hanging="431"/>
        <w:rPr>
          <w:sz w:val="24"/>
          <w:szCs w:val="24"/>
        </w:rPr>
      </w:pPr>
      <w:r w:rsidRPr="00243585">
        <w:rPr>
          <w:sz w:val="24"/>
          <w:szCs w:val="24"/>
        </w:rPr>
        <w:t>Disposições gerais</w:t>
      </w:r>
    </w:p>
    <w:p w14:paraId="2EC78158" w14:textId="4C2971CB" w:rsidR="0053770F" w:rsidRPr="00243585" w:rsidRDefault="0053770F" w:rsidP="00D11842">
      <w:pPr>
        <w:pStyle w:val="Ttulo3"/>
        <w:ind w:left="505" w:hanging="505"/>
        <w:rPr>
          <w:i w:val="0"/>
          <w:iCs/>
        </w:rPr>
      </w:pPr>
      <w:r w:rsidRPr="00243585">
        <w:rPr>
          <w:i w:val="0"/>
          <w:iCs/>
        </w:rPr>
        <w:t xml:space="preserve">Objetivos </w:t>
      </w:r>
      <w:r w:rsidR="00921899" w:rsidRPr="00243585">
        <w:rPr>
          <w:i w:val="0"/>
          <w:iCs/>
        </w:rPr>
        <w:t xml:space="preserve">e premissas </w:t>
      </w:r>
      <w:r w:rsidRPr="00243585">
        <w:rPr>
          <w:i w:val="0"/>
          <w:iCs/>
        </w:rPr>
        <w:t>da análise estrutural</w:t>
      </w:r>
    </w:p>
    <w:p w14:paraId="13A1F2D7" w14:textId="4F15A9C0" w:rsidR="0053770F" w:rsidRPr="00243585" w:rsidRDefault="0053770F" w:rsidP="0053770F">
      <w:r w:rsidRPr="00243585">
        <w:t xml:space="preserve">A análise de uma estrutura de alvenaria deve ser realizada considerando-se sempre o equilíbrio de cada um dos seus elementos e na estrutura como um todo, bem como o caminho descrito pelas ações, sejam elas verticais ou horizontais desde o seu ponto de </w:t>
      </w:r>
      <w:r w:rsidRPr="00243585">
        <w:lastRenderedPageBreak/>
        <w:t>aplicação até a fundação, ou onde se suponha que seja o limite da estrutura de alvenaria.</w:t>
      </w:r>
    </w:p>
    <w:p w14:paraId="18095619" w14:textId="5E0601F5" w:rsidR="0053770F" w:rsidRPr="00243585" w:rsidRDefault="0053770F" w:rsidP="00D11842">
      <w:pPr>
        <w:pStyle w:val="Ttulo3"/>
        <w:ind w:left="505" w:hanging="505"/>
        <w:rPr>
          <w:i w:val="0"/>
          <w:iCs/>
        </w:rPr>
      </w:pPr>
      <w:r w:rsidRPr="00243585">
        <w:rPr>
          <w:i w:val="0"/>
          <w:iCs/>
        </w:rPr>
        <w:t>Estabilidade global d</w:t>
      </w:r>
      <w:r w:rsidR="007F0448" w:rsidRPr="00243585">
        <w:rPr>
          <w:i w:val="0"/>
          <w:iCs/>
        </w:rPr>
        <w:t>e edifícios</w:t>
      </w:r>
    </w:p>
    <w:p w14:paraId="1C5DC141" w14:textId="32155FC8" w:rsidR="00CC59E4" w:rsidRPr="00243585" w:rsidRDefault="001A2CC3" w:rsidP="00CC59E4">
      <w:r w:rsidRPr="00243585">
        <w:t>Considerando o escopo desta norma, a estrutura pode ser considerada de nós fixos (efeito de segunda ordem global não significativo). A estrutura deve ser dimensionada no Estado Limite Último considerando as ações laterais e cargas verticais, devendo resultar tração nula em todos os elementos de alvenaria estrutural.</w:t>
      </w:r>
    </w:p>
    <w:p w14:paraId="6EAF848F" w14:textId="35CCD3C3" w:rsidR="0053770F" w:rsidRPr="00243585" w:rsidRDefault="0053770F" w:rsidP="00D11842">
      <w:pPr>
        <w:pStyle w:val="Ttulo3"/>
        <w:ind w:left="505" w:hanging="505"/>
        <w:rPr>
          <w:i w:val="0"/>
          <w:iCs/>
        </w:rPr>
      </w:pPr>
      <w:bookmarkStart w:id="22" w:name="_Ref186313209"/>
      <w:r w:rsidRPr="00243585">
        <w:rPr>
          <w:i w:val="0"/>
          <w:iCs/>
        </w:rPr>
        <w:t>Hipóteses básicas</w:t>
      </w:r>
      <w:bookmarkEnd w:id="22"/>
    </w:p>
    <w:p w14:paraId="2F595385" w14:textId="7C7995A6" w:rsidR="0053770F" w:rsidRPr="00243585" w:rsidRDefault="0053770F" w:rsidP="0053770F">
      <w:r w:rsidRPr="00243585">
        <w:t xml:space="preserve">A dispersão de qualquer ação vertical concentrada ou distribuída sobre um trecho de um elemento ocorre por uma </w:t>
      </w:r>
      <w:r w:rsidR="00DD3FA8" w:rsidRPr="00243585">
        <w:t>inclinação</w:t>
      </w:r>
      <w:r w:rsidRPr="00243585">
        <w:t xml:space="preserve"> de 45º, em relação ao plano horizontal, podendo-se utilizar essa especificação tanto para a determinação da parte de um elemento que efetivamente trabalha para resistir a uma ação</w:t>
      </w:r>
      <w:r w:rsidR="00127005" w:rsidRPr="00243585">
        <w:t>,</w:t>
      </w:r>
      <w:r w:rsidRPr="00243585">
        <w:t xml:space="preserve"> quanto para a parte de um carregamento que eventualmente atue sobre um elemento, conforme a Figu</w:t>
      </w:r>
      <w:r w:rsidR="006603FC" w:rsidRPr="00243585">
        <w:t xml:space="preserve">ra </w:t>
      </w:r>
      <w:r w:rsidR="00654E41" w:rsidRPr="00243585">
        <w:t>1</w:t>
      </w:r>
      <w:r w:rsidR="006603FC" w:rsidRPr="00243585">
        <w:t>.</w:t>
      </w:r>
    </w:p>
    <w:p w14:paraId="35905F75" w14:textId="40AFB671" w:rsidR="00B82E5E" w:rsidRPr="00243585" w:rsidRDefault="00A54E19" w:rsidP="0053770F">
      <w:r w:rsidRPr="00243585">
        <w:t xml:space="preserve">Essa </w:t>
      </w:r>
      <w:r w:rsidR="00713FF8" w:rsidRPr="00243585">
        <w:t>dispersão</w:t>
      </w:r>
      <w:r w:rsidRPr="00243585">
        <w:t xml:space="preserve"> pode ser considerada entre paredes </w:t>
      </w:r>
      <w:r w:rsidR="00DE6EF5" w:rsidRPr="00243585">
        <w:t>nos</w:t>
      </w:r>
      <w:r w:rsidR="00713FF8" w:rsidRPr="00243585">
        <w:t xml:space="preserve"> encontros </w:t>
      </w:r>
      <w:r w:rsidR="00DE6EF5" w:rsidRPr="00243585">
        <w:t>com</w:t>
      </w:r>
      <w:r w:rsidR="00713FF8" w:rsidRPr="00243585">
        <w:t xml:space="preserve"> amarração direta.</w:t>
      </w:r>
    </w:p>
    <w:p w14:paraId="4276CC9D" w14:textId="77777777" w:rsidR="008E4E81" w:rsidRPr="00243585" w:rsidRDefault="00E04BFD" w:rsidP="008E4E81">
      <w:pPr>
        <w:keepNext/>
        <w:spacing w:after="0"/>
      </w:pPr>
      <w:r w:rsidRPr="00243585">
        <w:rPr>
          <w:noProof/>
          <w:sz w:val="20"/>
        </w:rPr>
        <w:drawing>
          <wp:inline distT="0" distB="0" distL="0" distR="0" wp14:anchorId="6C7B8609" wp14:editId="102BD9B7">
            <wp:extent cx="5400040" cy="1937385"/>
            <wp:effectExtent l="0" t="0" r="0" b="5715"/>
            <wp:docPr id="13" name="Imagem 13" descr="Gráfico, Histo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Gráfico, Histograma&#10;&#10;O conteúdo gerado por IA pode estar incorreto."/>
                    <pic:cNvPicPr/>
                  </pic:nvPicPr>
                  <pic:blipFill>
                    <a:blip r:embed="rId8"/>
                    <a:stretch>
                      <a:fillRect/>
                    </a:stretch>
                  </pic:blipFill>
                  <pic:spPr>
                    <a:xfrm>
                      <a:off x="0" y="0"/>
                      <a:ext cx="5400040" cy="1937385"/>
                    </a:xfrm>
                    <a:prstGeom prst="rect">
                      <a:avLst/>
                    </a:prstGeom>
                  </pic:spPr>
                </pic:pic>
              </a:graphicData>
            </a:graphic>
          </wp:inline>
        </w:drawing>
      </w:r>
    </w:p>
    <w:p w14:paraId="51CC7276" w14:textId="300684BB" w:rsidR="00DD3FA8" w:rsidRPr="00243585" w:rsidRDefault="008E4E81" w:rsidP="008E4E81">
      <w:pPr>
        <w:pStyle w:val="Legenda"/>
        <w:spacing w:after="0"/>
        <w:jc w:val="center"/>
        <w:rPr>
          <w:b/>
          <w:bCs/>
          <w:i w:val="0"/>
          <w:iCs w:val="0"/>
          <w:color w:val="auto"/>
          <w:sz w:val="22"/>
          <w:szCs w:val="22"/>
        </w:rPr>
      </w:pPr>
      <w:r w:rsidRPr="00243585">
        <w:rPr>
          <w:b/>
          <w:bCs/>
          <w:i w:val="0"/>
          <w:iCs w:val="0"/>
          <w:color w:val="auto"/>
          <w:sz w:val="22"/>
          <w:szCs w:val="22"/>
        </w:rPr>
        <w:t xml:space="preserve">Figura </w:t>
      </w:r>
      <w:r w:rsidRPr="00243585">
        <w:rPr>
          <w:b/>
          <w:bCs/>
          <w:i w:val="0"/>
          <w:iCs w:val="0"/>
          <w:color w:val="auto"/>
          <w:sz w:val="22"/>
          <w:szCs w:val="22"/>
        </w:rPr>
        <w:fldChar w:fldCharType="begin"/>
      </w:r>
      <w:r w:rsidRPr="00243585">
        <w:rPr>
          <w:b/>
          <w:bCs/>
          <w:i w:val="0"/>
          <w:iCs w:val="0"/>
          <w:color w:val="auto"/>
          <w:sz w:val="22"/>
          <w:szCs w:val="22"/>
        </w:rPr>
        <w:instrText xml:space="preserve"> SEQ Figura \* ARABIC </w:instrText>
      </w:r>
      <w:r w:rsidRPr="00243585">
        <w:rPr>
          <w:b/>
          <w:bCs/>
          <w:i w:val="0"/>
          <w:iCs w:val="0"/>
          <w:color w:val="auto"/>
          <w:sz w:val="22"/>
          <w:szCs w:val="22"/>
        </w:rPr>
        <w:fldChar w:fldCharType="separate"/>
      </w:r>
      <w:r w:rsidR="0024680C" w:rsidRPr="00243585">
        <w:rPr>
          <w:b/>
          <w:bCs/>
          <w:i w:val="0"/>
          <w:iCs w:val="0"/>
          <w:noProof/>
          <w:color w:val="auto"/>
          <w:sz w:val="22"/>
          <w:szCs w:val="22"/>
        </w:rPr>
        <w:t>1</w:t>
      </w:r>
      <w:r w:rsidRPr="00243585">
        <w:rPr>
          <w:b/>
          <w:bCs/>
          <w:i w:val="0"/>
          <w:iCs w:val="0"/>
          <w:color w:val="auto"/>
          <w:sz w:val="22"/>
          <w:szCs w:val="22"/>
        </w:rPr>
        <w:fldChar w:fldCharType="end"/>
      </w:r>
      <w:r w:rsidRPr="00243585">
        <w:rPr>
          <w:b/>
          <w:bCs/>
          <w:i w:val="0"/>
          <w:iCs w:val="0"/>
          <w:color w:val="auto"/>
          <w:sz w:val="22"/>
          <w:szCs w:val="22"/>
        </w:rPr>
        <w:t xml:space="preserve"> — Dispersão de ações verticais</w:t>
      </w:r>
    </w:p>
    <w:p w14:paraId="69B75239" w14:textId="09AA48CF" w:rsidR="00BD2B60" w:rsidRPr="00243585" w:rsidRDefault="00BD2B60" w:rsidP="008E4E81">
      <w:pPr>
        <w:pStyle w:val="Legenda"/>
        <w:spacing w:after="0"/>
        <w:rPr>
          <w:i w:val="0"/>
          <w:iCs w:val="0"/>
          <w:color w:val="auto"/>
          <w:sz w:val="20"/>
        </w:rPr>
      </w:pPr>
    </w:p>
    <w:p w14:paraId="5BAAF607" w14:textId="1ED3B6EF" w:rsidR="0053770F" w:rsidRPr="00243585" w:rsidRDefault="0053770F" w:rsidP="00D11842">
      <w:pPr>
        <w:pStyle w:val="Ttulo3"/>
        <w:ind w:left="505" w:hanging="505"/>
        <w:rPr>
          <w:i w:val="0"/>
          <w:iCs/>
        </w:rPr>
      </w:pPr>
      <w:r w:rsidRPr="00243585">
        <w:rPr>
          <w:i w:val="0"/>
          <w:iCs/>
        </w:rPr>
        <w:t>Disposições especificas para os elementos</w:t>
      </w:r>
    </w:p>
    <w:p w14:paraId="6E0F06CD" w14:textId="07ACC744" w:rsidR="0053770F" w:rsidRPr="003B6A5E" w:rsidRDefault="0053770F" w:rsidP="0053770F">
      <w:r w:rsidRPr="00243585">
        <w:t xml:space="preserve">Elementos em alvenaria devem ser verificados conforme as disposições em </w:t>
      </w:r>
      <w:r w:rsidR="006603FC" w:rsidRPr="00243585">
        <w:fldChar w:fldCharType="begin"/>
      </w:r>
      <w:r w:rsidR="006603FC" w:rsidRPr="00243585">
        <w:instrText xml:space="preserve"> REF _Ref186313145 \w \h </w:instrText>
      </w:r>
      <w:r w:rsidR="000A39A2" w:rsidRPr="00243585">
        <w:instrText xml:space="preserve"> \* MERGEFORMAT </w:instrText>
      </w:r>
      <w:r w:rsidR="006603FC" w:rsidRPr="00243585">
        <w:fldChar w:fldCharType="separate"/>
      </w:r>
      <w:r w:rsidR="0024680C" w:rsidRPr="00243585">
        <w:t>9.2</w:t>
      </w:r>
      <w:r w:rsidR="006603FC" w:rsidRPr="00243585">
        <w:fldChar w:fldCharType="end"/>
      </w:r>
      <w:r w:rsidR="001C54BF" w:rsidRPr="00243585">
        <w:t xml:space="preserve"> </w:t>
      </w:r>
      <w:r w:rsidR="00FB29AC" w:rsidRPr="00243585">
        <w:t>e 9.3</w:t>
      </w:r>
      <w:r w:rsidRPr="00243585">
        <w:t>.</w:t>
      </w:r>
      <w:r w:rsidR="00BD2B60" w:rsidRPr="00243585">
        <w:t xml:space="preserve"> </w:t>
      </w:r>
      <w:r w:rsidRPr="00243585">
        <w:t xml:space="preserve">Sempre que os </w:t>
      </w:r>
      <w:r w:rsidR="007F0448" w:rsidRPr="00243585">
        <w:t>deslocamentos</w:t>
      </w:r>
      <w:r w:rsidRPr="00243585">
        <w:t xml:space="preserve"> forem relevantes pa</w:t>
      </w:r>
      <w:r w:rsidR="007F0448" w:rsidRPr="00243585">
        <w:t>r</w:t>
      </w:r>
      <w:r w:rsidRPr="00243585">
        <w:t>a o elemento considerado, seus efeitos devem ser incorporados, estabelecendo-se o equilíbrio na configuração deformada.</w:t>
      </w:r>
    </w:p>
    <w:p w14:paraId="728C8CDA" w14:textId="7C2B4744" w:rsidR="0053770F" w:rsidRPr="008E4E81" w:rsidRDefault="0053770F" w:rsidP="008E4E81">
      <w:pPr>
        <w:pStyle w:val="Ttulo2"/>
        <w:ind w:left="431" w:hanging="431"/>
        <w:rPr>
          <w:sz w:val="24"/>
          <w:szCs w:val="24"/>
        </w:rPr>
      </w:pPr>
      <w:bookmarkStart w:id="23" w:name="_Ref186313145"/>
      <w:r w:rsidRPr="008E4E81">
        <w:rPr>
          <w:sz w:val="24"/>
          <w:szCs w:val="24"/>
        </w:rPr>
        <w:t>Vigas</w:t>
      </w:r>
      <w:bookmarkEnd w:id="23"/>
    </w:p>
    <w:p w14:paraId="09879BBD" w14:textId="6E291965" w:rsidR="00336C76" w:rsidRDefault="00CC59E4" w:rsidP="004A0CD2">
      <w:r>
        <w:t xml:space="preserve">São permitidas vergas de alvenaria estrutural com blocos canaletas projetadas e executadas conforme </w:t>
      </w:r>
      <w:r w:rsidR="00336C76" w:rsidRPr="007F3836">
        <w:t xml:space="preserve">ABNT </w:t>
      </w:r>
      <w:r>
        <w:t>NBR 16868.</w:t>
      </w:r>
      <w:r w:rsidR="00EC13C9">
        <w:t xml:space="preserve"> </w:t>
      </w:r>
      <w:r w:rsidR="00DA7600">
        <w:t xml:space="preserve">As canaletas devem ser </w:t>
      </w:r>
      <w:r w:rsidR="00F22197">
        <w:t xml:space="preserve">armadas e </w:t>
      </w:r>
      <w:proofErr w:type="spellStart"/>
      <w:r w:rsidR="00F22197">
        <w:t>grauteadas</w:t>
      </w:r>
      <w:proofErr w:type="spellEnd"/>
      <w:r w:rsidR="00F22197">
        <w:t>. A junta</w:t>
      </w:r>
      <w:r w:rsidR="00247891">
        <w:t>s</w:t>
      </w:r>
      <w:r w:rsidR="00F22197">
        <w:t xml:space="preserve"> vertica</w:t>
      </w:r>
      <w:r w:rsidR="00247891">
        <w:t>is</w:t>
      </w:r>
      <w:r w:rsidR="00F22197">
        <w:t xml:space="preserve"> das canaletas pode</w:t>
      </w:r>
      <w:r w:rsidR="00247891">
        <w:t>m</w:t>
      </w:r>
      <w:r w:rsidR="00F22197">
        <w:t xml:space="preserve"> ser executadas com composto polimérico ou com argam</w:t>
      </w:r>
      <w:r w:rsidR="00247891">
        <w:t>a</w:t>
      </w:r>
      <w:r w:rsidR="00F22197">
        <w:t xml:space="preserve">ssa cimentícia. </w:t>
      </w:r>
      <w:r>
        <w:t xml:space="preserve">São permitidas vigas de concreto armado projetadas e executadas conforme </w:t>
      </w:r>
      <w:r w:rsidR="002908D5" w:rsidRPr="007F3836">
        <w:t xml:space="preserve">ABNT </w:t>
      </w:r>
      <w:r>
        <w:t>NBR 6118.</w:t>
      </w:r>
    </w:p>
    <w:p w14:paraId="39C02F0E" w14:textId="77777777" w:rsidR="00336C76" w:rsidRDefault="00336C76">
      <w:pPr>
        <w:spacing w:line="240" w:lineRule="auto"/>
        <w:jc w:val="left"/>
      </w:pPr>
      <w:r>
        <w:br w:type="page"/>
      </w:r>
    </w:p>
    <w:p w14:paraId="556364A1" w14:textId="6E1088BD" w:rsidR="0053770F" w:rsidRPr="008E4E81" w:rsidRDefault="0053770F" w:rsidP="008E4E81">
      <w:pPr>
        <w:pStyle w:val="Ttulo2"/>
        <w:ind w:left="431" w:hanging="431"/>
        <w:rPr>
          <w:sz w:val="24"/>
          <w:szCs w:val="24"/>
        </w:rPr>
      </w:pPr>
      <w:r w:rsidRPr="008E4E81">
        <w:rPr>
          <w:sz w:val="24"/>
          <w:szCs w:val="24"/>
        </w:rPr>
        <w:lastRenderedPageBreak/>
        <w:t>Paredes</w:t>
      </w:r>
      <w:r w:rsidR="00170002" w:rsidRPr="008E4E81">
        <w:rPr>
          <w:sz w:val="24"/>
          <w:szCs w:val="24"/>
        </w:rPr>
        <w:t xml:space="preserve"> e </w:t>
      </w:r>
      <w:r w:rsidR="008E4E81">
        <w:rPr>
          <w:sz w:val="24"/>
          <w:szCs w:val="24"/>
        </w:rPr>
        <w:t>p</w:t>
      </w:r>
      <w:r w:rsidR="00170002" w:rsidRPr="008E4E81">
        <w:rPr>
          <w:sz w:val="24"/>
          <w:szCs w:val="24"/>
        </w:rPr>
        <w:t>ilares</w:t>
      </w:r>
    </w:p>
    <w:p w14:paraId="00C04D4E" w14:textId="33FD9B1B" w:rsidR="0053770F" w:rsidRPr="008E4E81" w:rsidRDefault="0053770F" w:rsidP="00D11842">
      <w:pPr>
        <w:pStyle w:val="Ttulo3"/>
        <w:ind w:left="505" w:hanging="505"/>
        <w:rPr>
          <w:i w:val="0"/>
          <w:iCs/>
        </w:rPr>
      </w:pPr>
      <w:bookmarkStart w:id="24" w:name="_Ref186314205"/>
      <w:r w:rsidRPr="008E4E81">
        <w:rPr>
          <w:i w:val="0"/>
          <w:iCs/>
        </w:rPr>
        <w:t>Altura efetiva</w:t>
      </w:r>
      <w:bookmarkEnd w:id="24"/>
    </w:p>
    <w:p w14:paraId="40281A75" w14:textId="357CD0A9" w:rsidR="0053770F" w:rsidRPr="003B6A5E" w:rsidRDefault="0053770F" w:rsidP="008E4E81">
      <w:r w:rsidRPr="003B6A5E">
        <w:t>A altura efetiva (</w:t>
      </w:r>
      <w:proofErr w:type="spellStart"/>
      <w:r w:rsidRPr="008E4E81">
        <w:rPr>
          <w:i/>
          <w:iCs/>
        </w:rPr>
        <w:t>h</w:t>
      </w:r>
      <w:r w:rsidR="00C20822" w:rsidRPr="008E4E81">
        <w:rPr>
          <w:i/>
          <w:iCs/>
          <w:vertAlign w:val="subscript"/>
        </w:rPr>
        <w:t>e</w:t>
      </w:r>
      <w:proofErr w:type="spellEnd"/>
      <w:r w:rsidRPr="003B6A5E">
        <w:t>) de uma parede deve ser considerada igual</w:t>
      </w:r>
      <w:r w:rsidR="000577E6">
        <w:t xml:space="preserve"> </w:t>
      </w:r>
      <w:r w:rsidRPr="003B6A5E">
        <w:t>à altura da parede, se houver travamentos que restrinjam os deslocamentos horizontais das suas extremidades superior e inferior</w:t>
      </w:r>
      <w:r w:rsidR="0048278B">
        <w:t>.</w:t>
      </w:r>
    </w:p>
    <w:p w14:paraId="308B3DEE" w14:textId="16354FDA" w:rsidR="0053770F" w:rsidRPr="003B6A5E" w:rsidRDefault="0053770F" w:rsidP="0053770F">
      <w:r w:rsidRPr="003B6A5E">
        <w:t xml:space="preserve">As paredes </w:t>
      </w:r>
      <w:r w:rsidR="00CC59E4">
        <w:t xml:space="preserve">devem ter comprimento mínimo igual a cinco vezes a espessura </w:t>
      </w:r>
      <w:r w:rsidR="00607CCD">
        <w:t>dos blocos</w:t>
      </w:r>
      <w:r w:rsidR="00CC59E4">
        <w:t xml:space="preserve">, caso contrário devem ser </w:t>
      </w:r>
      <w:r w:rsidR="00170002">
        <w:t>consideradas com</w:t>
      </w:r>
      <w:r w:rsidR="009C6EC2">
        <w:t>o</w:t>
      </w:r>
      <w:r w:rsidR="00170002">
        <w:t xml:space="preserve"> pilares. </w:t>
      </w:r>
    </w:p>
    <w:p w14:paraId="19E04957" w14:textId="1823700B" w:rsidR="0053770F" w:rsidRPr="0048278B" w:rsidRDefault="0053770F" w:rsidP="00D11842">
      <w:pPr>
        <w:pStyle w:val="Ttulo3"/>
        <w:ind w:left="505" w:hanging="505"/>
        <w:rPr>
          <w:i w:val="0"/>
          <w:iCs/>
        </w:rPr>
      </w:pPr>
      <w:r w:rsidRPr="0048278B">
        <w:rPr>
          <w:i w:val="0"/>
          <w:iCs/>
        </w:rPr>
        <w:t>Espessura efetiva</w:t>
      </w:r>
    </w:p>
    <w:p w14:paraId="2478A5AA" w14:textId="6DE83388" w:rsidR="0053770F" w:rsidRPr="003B6A5E" w:rsidRDefault="0053770F" w:rsidP="0053770F">
      <w:r w:rsidRPr="003B6A5E">
        <w:t>A espessura efetiva (</w:t>
      </w:r>
      <w:r w:rsidRPr="0048278B">
        <w:rPr>
          <w:i/>
          <w:iCs/>
        </w:rPr>
        <w:t>t</w:t>
      </w:r>
      <w:r w:rsidR="00C20822" w:rsidRPr="0048278B">
        <w:rPr>
          <w:i/>
          <w:iCs/>
          <w:vertAlign w:val="subscript"/>
        </w:rPr>
        <w:t>e</w:t>
      </w:r>
      <w:r w:rsidRPr="003B6A5E">
        <w:t xml:space="preserve">) de uma parede </w:t>
      </w:r>
      <w:r w:rsidR="00C602BA">
        <w:t xml:space="preserve">com ou </w:t>
      </w:r>
      <w:r w:rsidRPr="003B6A5E">
        <w:t xml:space="preserve">sem </w:t>
      </w:r>
      <w:proofErr w:type="spellStart"/>
      <w:r w:rsidRPr="003B6A5E">
        <w:t>enrijecedores</w:t>
      </w:r>
      <w:proofErr w:type="spellEnd"/>
      <w:r w:rsidRPr="003B6A5E">
        <w:t xml:space="preserve"> corresponde à sua espessura (</w:t>
      </w:r>
      <w:r w:rsidRPr="0048278B">
        <w:rPr>
          <w:i/>
          <w:iCs/>
        </w:rPr>
        <w:t>t</w:t>
      </w:r>
      <w:r w:rsidRPr="003B6A5E">
        <w:t>), não sendo considerados os revestimentos.</w:t>
      </w:r>
    </w:p>
    <w:p w14:paraId="4EE500FF" w14:textId="21875D01" w:rsidR="0053770F" w:rsidRPr="00A85762" w:rsidRDefault="0053770F" w:rsidP="00D11842">
      <w:pPr>
        <w:pStyle w:val="Ttulo3"/>
        <w:ind w:left="505" w:hanging="505"/>
        <w:rPr>
          <w:i w:val="0"/>
          <w:iCs/>
        </w:rPr>
      </w:pPr>
      <w:r w:rsidRPr="00A85762">
        <w:rPr>
          <w:i w:val="0"/>
          <w:iCs/>
        </w:rPr>
        <w:t>Seção resistente</w:t>
      </w:r>
    </w:p>
    <w:p w14:paraId="426407B6" w14:textId="73CA6E2E" w:rsidR="0053770F" w:rsidRPr="003B6A5E" w:rsidRDefault="0053770F" w:rsidP="0053770F">
      <w:r w:rsidRPr="003B6A5E">
        <w:t>A seção resistente de uma parede é sempre calculada desconsiderando-se os revestimentos.</w:t>
      </w:r>
    </w:p>
    <w:p w14:paraId="0AA9F85B" w14:textId="3BADC8A1" w:rsidR="006C4057" w:rsidRPr="00A85762" w:rsidRDefault="006C4057" w:rsidP="006C4057">
      <w:pPr>
        <w:pStyle w:val="Ttulo1"/>
        <w:rPr>
          <w:sz w:val="26"/>
          <w:szCs w:val="26"/>
        </w:rPr>
      </w:pPr>
      <w:r w:rsidRPr="00A85762">
        <w:rPr>
          <w:sz w:val="26"/>
          <w:szCs w:val="26"/>
        </w:rPr>
        <w:t>Limites para dimensões, deslocamento e fissuras</w:t>
      </w:r>
    </w:p>
    <w:p w14:paraId="14F6A4A7" w14:textId="4116B100" w:rsidR="003C6735" w:rsidRPr="00A85762" w:rsidRDefault="003C6735" w:rsidP="00A85762">
      <w:pPr>
        <w:pStyle w:val="Ttulo2"/>
        <w:ind w:left="431" w:hanging="431"/>
        <w:rPr>
          <w:sz w:val="24"/>
          <w:szCs w:val="24"/>
        </w:rPr>
      </w:pPr>
      <w:r w:rsidRPr="00A85762">
        <w:rPr>
          <w:sz w:val="24"/>
          <w:szCs w:val="24"/>
        </w:rPr>
        <w:t>Dimensões-limite</w:t>
      </w:r>
    </w:p>
    <w:p w14:paraId="1E91160F" w14:textId="2454619F" w:rsidR="003C6735" w:rsidRPr="00A85762" w:rsidRDefault="003C6735" w:rsidP="00D11842">
      <w:pPr>
        <w:pStyle w:val="Ttulo3"/>
        <w:ind w:left="505" w:hanging="505"/>
        <w:rPr>
          <w:i w:val="0"/>
        </w:rPr>
      </w:pPr>
      <w:r w:rsidRPr="00A85762">
        <w:rPr>
          <w:i w:val="0"/>
        </w:rPr>
        <w:t>Espessura efetiva de parede ou pilar</w:t>
      </w:r>
    </w:p>
    <w:p w14:paraId="562B99EF" w14:textId="513EA1D1" w:rsidR="001531EC" w:rsidRPr="00A85762" w:rsidRDefault="001531EC" w:rsidP="001531EC">
      <w:pPr>
        <w:ind w:right="-1" w:firstLine="6"/>
      </w:pPr>
      <w:r w:rsidRPr="00A85762">
        <w:t>Não se admite parede ou pilar estrutural com espessura efetiva inferior a 14 cm.</w:t>
      </w:r>
    </w:p>
    <w:p w14:paraId="72D4CC43" w14:textId="6AD2BA72" w:rsidR="003C6735" w:rsidRPr="00A85762" w:rsidRDefault="003C6735" w:rsidP="00D11842">
      <w:pPr>
        <w:pStyle w:val="Ttulo3"/>
        <w:ind w:left="505" w:hanging="505"/>
        <w:rPr>
          <w:i w:val="0"/>
        </w:rPr>
      </w:pPr>
      <w:bookmarkStart w:id="25" w:name="_Ref186313300"/>
      <w:r w:rsidRPr="00A85762">
        <w:rPr>
          <w:i w:val="0"/>
        </w:rPr>
        <w:t>Esbeltez</w:t>
      </w:r>
      <w:bookmarkEnd w:id="25"/>
    </w:p>
    <w:p w14:paraId="31479A5B" w14:textId="33EE90DF" w:rsidR="001531EC" w:rsidRDefault="001531EC" w:rsidP="001531EC">
      <w:r>
        <w:t>O índice de esbeltez é a razão entre a altura efetiva e a espessura efetiva da parede ou pilar, calculado conforme descrito a seguir:</w:t>
      </w:r>
    </w:p>
    <w:p w14:paraId="62388809" w14:textId="7E17A854" w:rsidR="001531EC" w:rsidRDefault="00A134A6" w:rsidP="001531EC">
      <w:r>
        <w:rPr>
          <w:rFonts w:ascii="Symbol" w:hAnsi="Symbol"/>
        </w:rPr>
        <w:t>l</w:t>
      </w:r>
      <w:r>
        <w:t xml:space="preserve"> </w:t>
      </w:r>
      <w:r w:rsidR="001531EC">
        <w:t xml:space="preserve">= </w:t>
      </w:r>
      <w:proofErr w:type="spellStart"/>
      <w:r w:rsidR="001531EC" w:rsidRPr="0095024D">
        <w:rPr>
          <w:i/>
          <w:iCs/>
        </w:rPr>
        <w:t>h</w:t>
      </w:r>
      <w:r w:rsidRPr="0095024D">
        <w:rPr>
          <w:i/>
          <w:iCs/>
          <w:vertAlign w:val="subscript"/>
        </w:rPr>
        <w:t>e</w:t>
      </w:r>
      <w:proofErr w:type="spellEnd"/>
      <w:r w:rsidR="001531EC">
        <w:t xml:space="preserve"> / </w:t>
      </w:r>
      <w:r w:rsidR="001531EC" w:rsidRPr="0095024D">
        <w:rPr>
          <w:i/>
          <w:iCs/>
        </w:rPr>
        <w:t>t</w:t>
      </w:r>
      <w:r w:rsidRPr="0095024D">
        <w:rPr>
          <w:i/>
          <w:iCs/>
          <w:vertAlign w:val="subscript"/>
        </w:rPr>
        <w:t>e</w:t>
      </w:r>
    </w:p>
    <w:p w14:paraId="5BE8F183" w14:textId="6CA1895C" w:rsidR="001531EC" w:rsidRDefault="001531EC" w:rsidP="00D07EB1">
      <w:pPr>
        <w:spacing w:after="0"/>
      </w:pPr>
      <w:r>
        <w:t xml:space="preserve">O valor máximo do índice de esbeltez de paredes e pilares é </w:t>
      </w:r>
      <w:r w:rsidR="00830159">
        <w:t xml:space="preserve">igual a </w:t>
      </w:r>
      <w:r>
        <w:t>24.</w:t>
      </w:r>
    </w:p>
    <w:p w14:paraId="40F7AC7E" w14:textId="77777777" w:rsidR="00D07EB1" w:rsidRPr="001531EC" w:rsidRDefault="00D07EB1" w:rsidP="00D07EB1">
      <w:pPr>
        <w:spacing w:after="0"/>
      </w:pPr>
    </w:p>
    <w:p w14:paraId="159659FF" w14:textId="2FD8B347" w:rsidR="003C6735" w:rsidRPr="00D07EB1" w:rsidRDefault="003C6735" w:rsidP="00D11842">
      <w:pPr>
        <w:pStyle w:val="Ttulo3"/>
        <w:ind w:left="505" w:hanging="505"/>
        <w:rPr>
          <w:i w:val="0"/>
          <w:iCs/>
        </w:rPr>
      </w:pPr>
      <w:bookmarkStart w:id="26" w:name="_Ref186313332"/>
      <w:r w:rsidRPr="00D07EB1">
        <w:rPr>
          <w:i w:val="0"/>
          <w:iCs/>
        </w:rPr>
        <w:t>Comprimento efetivo de flanges em painéis de contraventamento</w:t>
      </w:r>
      <w:bookmarkEnd w:id="26"/>
    </w:p>
    <w:p w14:paraId="27628981" w14:textId="4F71FA23" w:rsidR="00F36EC0" w:rsidRDefault="001531EC" w:rsidP="001531EC">
      <w:pPr>
        <w:spacing w:line="225" w:lineRule="auto"/>
        <w:ind w:right="-1" w:firstLine="13"/>
      </w:pPr>
      <w:r w:rsidRPr="001531EC">
        <w:t>O</w:t>
      </w:r>
      <w:r w:rsidRPr="001531EC">
        <w:rPr>
          <w:spacing w:val="29"/>
        </w:rPr>
        <w:t xml:space="preserve"> </w:t>
      </w:r>
      <w:r w:rsidRPr="001531EC">
        <w:t>comprimento</w:t>
      </w:r>
      <w:r w:rsidRPr="001531EC">
        <w:rPr>
          <w:spacing w:val="40"/>
        </w:rPr>
        <w:t xml:space="preserve"> </w:t>
      </w:r>
      <w:r w:rsidRPr="001531EC">
        <w:t>efetivo</w:t>
      </w:r>
      <w:r w:rsidRPr="001531EC">
        <w:rPr>
          <w:spacing w:val="39"/>
        </w:rPr>
        <w:t xml:space="preserve"> </w:t>
      </w:r>
      <w:r w:rsidRPr="001531EC">
        <w:t>de</w:t>
      </w:r>
      <w:r w:rsidRPr="001531EC">
        <w:rPr>
          <w:spacing w:val="37"/>
        </w:rPr>
        <w:t xml:space="preserve"> </w:t>
      </w:r>
      <w:r w:rsidRPr="001531EC">
        <w:t>flange</w:t>
      </w:r>
      <w:r w:rsidRPr="001531EC">
        <w:rPr>
          <w:spacing w:val="38"/>
        </w:rPr>
        <w:t xml:space="preserve"> </w:t>
      </w:r>
      <w:r w:rsidRPr="001531EC">
        <w:t>em</w:t>
      </w:r>
      <w:r w:rsidRPr="001531EC">
        <w:rPr>
          <w:spacing w:val="40"/>
        </w:rPr>
        <w:t xml:space="preserve"> </w:t>
      </w:r>
      <w:r w:rsidRPr="001531EC">
        <w:t>painéis</w:t>
      </w:r>
      <w:r w:rsidRPr="001531EC">
        <w:rPr>
          <w:spacing w:val="36"/>
        </w:rPr>
        <w:t xml:space="preserve"> </w:t>
      </w:r>
      <w:r w:rsidRPr="001531EC">
        <w:t>de</w:t>
      </w:r>
      <w:r w:rsidRPr="001531EC">
        <w:rPr>
          <w:spacing w:val="30"/>
        </w:rPr>
        <w:t xml:space="preserve"> </w:t>
      </w:r>
      <w:r w:rsidRPr="001531EC">
        <w:t>contraventamento</w:t>
      </w:r>
      <w:r w:rsidRPr="001531EC">
        <w:rPr>
          <w:spacing w:val="20"/>
        </w:rPr>
        <w:t xml:space="preserve"> </w:t>
      </w:r>
      <w:r w:rsidRPr="001531EC">
        <w:t>deve</w:t>
      </w:r>
      <w:r w:rsidRPr="001531EC">
        <w:rPr>
          <w:spacing w:val="40"/>
        </w:rPr>
        <w:t xml:space="preserve"> </w:t>
      </w:r>
      <w:r w:rsidRPr="001531EC">
        <w:t>obedecer</w:t>
      </w:r>
      <w:r w:rsidRPr="001531EC">
        <w:rPr>
          <w:spacing w:val="26"/>
        </w:rPr>
        <w:t xml:space="preserve"> </w:t>
      </w:r>
      <w:r w:rsidRPr="001531EC">
        <w:t>ao</w:t>
      </w:r>
      <w:r w:rsidRPr="001531EC">
        <w:rPr>
          <w:spacing w:val="40"/>
        </w:rPr>
        <w:t xml:space="preserve"> </w:t>
      </w:r>
      <w:r w:rsidRPr="001531EC">
        <w:t>limite</w:t>
      </w:r>
      <w:r w:rsidRPr="001531EC">
        <w:rPr>
          <w:spacing w:val="40"/>
        </w:rPr>
        <w:t xml:space="preserve"> </w:t>
      </w:r>
      <w:proofErr w:type="spellStart"/>
      <w:r w:rsidRPr="001531EC">
        <w:rPr>
          <w:i/>
        </w:rPr>
        <w:t>b</w:t>
      </w:r>
      <w:r w:rsidR="00053AF2">
        <w:rPr>
          <w:i/>
          <w:vertAlign w:val="subscript"/>
        </w:rPr>
        <w:t>f</w:t>
      </w:r>
      <w:proofErr w:type="spellEnd"/>
      <w:r w:rsidRPr="001531EC">
        <w:rPr>
          <w:i/>
          <w:spacing w:val="24"/>
        </w:rPr>
        <w:t xml:space="preserve"> </w:t>
      </w:r>
      <w:r w:rsidRPr="001531EC">
        <w:t>≤</w:t>
      </w:r>
      <w:r w:rsidRPr="001531EC">
        <w:rPr>
          <w:spacing w:val="40"/>
        </w:rPr>
        <w:t xml:space="preserve"> </w:t>
      </w:r>
      <w:r w:rsidRPr="001531EC">
        <w:t xml:space="preserve">6t, conforme a </w:t>
      </w:r>
      <w:r w:rsidR="00D07EB1">
        <w:t>F</w:t>
      </w:r>
      <w:r w:rsidRPr="00F17C6E">
        <w:t xml:space="preserve">igura </w:t>
      </w:r>
      <w:r w:rsidR="00D07EB1">
        <w:t>02.</w:t>
      </w:r>
    </w:p>
    <w:p w14:paraId="6295F079" w14:textId="77777777" w:rsidR="00F36EC0" w:rsidRDefault="00F36EC0">
      <w:pPr>
        <w:spacing w:line="240" w:lineRule="auto"/>
        <w:jc w:val="left"/>
      </w:pPr>
      <w:r>
        <w:br w:type="page"/>
      </w:r>
    </w:p>
    <w:p w14:paraId="15B61AA2" w14:textId="14D0F7C8" w:rsidR="001531EC" w:rsidRDefault="009F2936" w:rsidP="001531EC">
      <w:r w:rsidRPr="002928CC">
        <w:rPr>
          <w:noProof/>
        </w:rPr>
        <w:lastRenderedPageBreak/>
        <w:drawing>
          <wp:inline distT="0" distB="0" distL="0" distR="0" wp14:anchorId="650FDCBE" wp14:editId="35617F8A">
            <wp:extent cx="5391902" cy="1733792"/>
            <wp:effectExtent l="0" t="0" r="0" b="0"/>
            <wp:docPr id="6" name="Imagem 6" descr="Diagrama, Desenho técn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Diagrama, Desenho técnico&#10;&#10;O conteúdo gerado por IA pode estar incorreto."/>
                    <pic:cNvPicPr/>
                  </pic:nvPicPr>
                  <pic:blipFill>
                    <a:blip r:embed="rId9"/>
                    <a:stretch>
                      <a:fillRect/>
                    </a:stretch>
                  </pic:blipFill>
                  <pic:spPr>
                    <a:xfrm>
                      <a:off x="0" y="0"/>
                      <a:ext cx="5391902" cy="1733792"/>
                    </a:xfrm>
                    <a:prstGeom prst="rect">
                      <a:avLst/>
                    </a:prstGeom>
                  </pic:spPr>
                </pic:pic>
              </a:graphicData>
            </a:graphic>
          </wp:inline>
        </w:drawing>
      </w:r>
    </w:p>
    <w:p w14:paraId="0C6191BE" w14:textId="32CFF64D" w:rsidR="00D30255" w:rsidRPr="00F36EC0" w:rsidRDefault="00D30255" w:rsidP="00D30255">
      <w:pPr>
        <w:pStyle w:val="Legenda"/>
        <w:jc w:val="center"/>
        <w:rPr>
          <w:b/>
          <w:bCs/>
          <w:i w:val="0"/>
          <w:iCs w:val="0"/>
          <w:color w:val="auto"/>
          <w:sz w:val="22"/>
          <w:szCs w:val="20"/>
        </w:rPr>
      </w:pPr>
      <w:r w:rsidRPr="00F36EC0">
        <w:rPr>
          <w:b/>
          <w:bCs/>
          <w:i w:val="0"/>
          <w:iCs w:val="0"/>
          <w:color w:val="auto"/>
          <w:sz w:val="22"/>
          <w:szCs w:val="20"/>
        </w:rPr>
        <w:t xml:space="preserve">Figura </w:t>
      </w:r>
      <w:r w:rsidR="00D07EB1" w:rsidRPr="00F36EC0">
        <w:rPr>
          <w:b/>
          <w:bCs/>
          <w:i w:val="0"/>
          <w:iCs w:val="0"/>
          <w:color w:val="auto"/>
          <w:sz w:val="22"/>
          <w:szCs w:val="20"/>
        </w:rPr>
        <w:t>2</w:t>
      </w:r>
      <w:r w:rsidRPr="00F36EC0">
        <w:rPr>
          <w:b/>
          <w:bCs/>
          <w:i w:val="0"/>
          <w:iCs w:val="0"/>
          <w:color w:val="auto"/>
          <w:sz w:val="22"/>
          <w:szCs w:val="20"/>
        </w:rPr>
        <w:t xml:space="preserve"> - Comprimento efetivo de flanges</w:t>
      </w:r>
    </w:p>
    <w:p w14:paraId="3B74ED8E" w14:textId="71F3DC4D" w:rsidR="003C6735" w:rsidRPr="00F36EC0" w:rsidRDefault="003C6735" w:rsidP="00F36EC0">
      <w:pPr>
        <w:pStyle w:val="Ttulo2"/>
        <w:ind w:left="431" w:hanging="431"/>
        <w:rPr>
          <w:sz w:val="24"/>
          <w:szCs w:val="24"/>
        </w:rPr>
      </w:pPr>
      <w:r w:rsidRPr="00F36EC0">
        <w:rPr>
          <w:sz w:val="24"/>
          <w:szCs w:val="24"/>
        </w:rPr>
        <w:t>Cortes e juntas</w:t>
      </w:r>
    </w:p>
    <w:p w14:paraId="33575F8C" w14:textId="4896D9CE" w:rsidR="003C6735" w:rsidRPr="00F36EC0" w:rsidRDefault="003C6735" w:rsidP="00FB7DD8">
      <w:pPr>
        <w:pStyle w:val="Ttulo3"/>
        <w:ind w:left="505" w:hanging="505"/>
        <w:rPr>
          <w:i w:val="0"/>
          <w:iCs/>
        </w:rPr>
      </w:pPr>
      <w:r w:rsidRPr="00F36EC0">
        <w:rPr>
          <w:i w:val="0"/>
          <w:iCs/>
        </w:rPr>
        <w:t>Cortes em paredes</w:t>
      </w:r>
    </w:p>
    <w:p w14:paraId="39CA655C" w14:textId="77777777" w:rsidR="001531EC" w:rsidRPr="003B5041" w:rsidRDefault="001531EC" w:rsidP="001531EC">
      <w:r w:rsidRPr="001531EC">
        <w:t>Qualquer corte em paredes deve ser previsto no projeto estrutural. Qualquer trecho cortado deve ser descontado da seção da parede no projeto.</w:t>
      </w:r>
    </w:p>
    <w:p w14:paraId="0C76A249" w14:textId="4D0A58FB" w:rsidR="001531EC" w:rsidRPr="001531EC" w:rsidRDefault="001531EC" w:rsidP="001531EC">
      <w:r w:rsidRPr="001531EC">
        <w:t>Cortes verticais de comprimento superior a 60 cm determinam elementos distintos.</w:t>
      </w:r>
    </w:p>
    <w:p w14:paraId="5E2E85A8" w14:textId="21046CED" w:rsidR="001531EC" w:rsidRPr="001531EC" w:rsidRDefault="001531EC" w:rsidP="001531EC">
      <w:r w:rsidRPr="001531EC">
        <w:t>Não são permitidos condutores de fluidos embutidos em paredes estruturais, exceto quando a manutenção não exigir corte.</w:t>
      </w:r>
    </w:p>
    <w:p w14:paraId="49E94D75" w14:textId="5F99510A" w:rsidR="003C6735" w:rsidRPr="00F36EC0" w:rsidRDefault="003C6735" w:rsidP="00FB7DD8">
      <w:pPr>
        <w:pStyle w:val="Ttulo3"/>
        <w:ind w:left="505" w:hanging="505"/>
        <w:rPr>
          <w:i w:val="0"/>
          <w:iCs/>
        </w:rPr>
      </w:pPr>
      <w:r w:rsidRPr="00F36EC0">
        <w:rPr>
          <w:i w:val="0"/>
          <w:iCs/>
        </w:rPr>
        <w:t>Juntas de dilatação</w:t>
      </w:r>
    </w:p>
    <w:p w14:paraId="17C6CE44" w14:textId="3FFBA432" w:rsidR="001531EC" w:rsidRPr="001531EC" w:rsidRDefault="001531EC" w:rsidP="001531EC">
      <w:r w:rsidRPr="001531EC">
        <w:t xml:space="preserve">Recomenda-se prever juntas de dilatação no máximo a cada </w:t>
      </w:r>
      <w:r w:rsidR="00170002">
        <w:t>30</w:t>
      </w:r>
      <w:r w:rsidR="00170002" w:rsidRPr="001531EC">
        <w:t xml:space="preserve"> </w:t>
      </w:r>
      <w:r w:rsidRPr="001531EC">
        <w:t>m da edificação em planta. Esse limite pode ser alterado, desde que se faça uma avaliação dos efeitos da variação de temperatura e retração sobre a estrutura</w:t>
      </w:r>
      <w:r>
        <w:t>.</w:t>
      </w:r>
    </w:p>
    <w:p w14:paraId="6B901926" w14:textId="6D52B5F2" w:rsidR="003C6735" w:rsidRPr="00F36EC0" w:rsidRDefault="003C6735" w:rsidP="00FB7DD8">
      <w:pPr>
        <w:pStyle w:val="Ttulo3"/>
        <w:ind w:left="505" w:hanging="505"/>
        <w:rPr>
          <w:i w:val="0"/>
          <w:iCs/>
        </w:rPr>
      </w:pPr>
      <w:r w:rsidRPr="00F36EC0">
        <w:rPr>
          <w:i w:val="0"/>
          <w:iCs/>
        </w:rPr>
        <w:t>Juntas de controle</w:t>
      </w:r>
    </w:p>
    <w:p w14:paraId="387B7171" w14:textId="77777777" w:rsidR="00BF3DEA" w:rsidRPr="003B5041" w:rsidRDefault="00BF3DEA" w:rsidP="00BF3DEA">
      <w:r w:rsidRPr="00BF3DEA">
        <w:t>Deve ser analisada a necessidade da colocação de juntas verticais de controle de fissuração em elementos de alvenaria, com a finalidade de prevenir o aparecimento de fissuras provocadas por variação de temperatura, retração, expansão, variação brusca de carregamento e variação da altura ou da espessura da parede.</w:t>
      </w:r>
    </w:p>
    <w:p w14:paraId="2B665832" w14:textId="37143F61" w:rsidR="003C6735" w:rsidRPr="00CA47F3" w:rsidRDefault="003C6735" w:rsidP="00FB7DD8">
      <w:pPr>
        <w:pStyle w:val="Ttulo3"/>
        <w:ind w:left="505" w:hanging="505"/>
        <w:rPr>
          <w:i w:val="0"/>
          <w:iCs/>
        </w:rPr>
      </w:pPr>
      <w:r w:rsidRPr="00CA47F3">
        <w:rPr>
          <w:i w:val="0"/>
          <w:iCs/>
        </w:rPr>
        <w:t>Espessura das juntas horizontais</w:t>
      </w:r>
    </w:p>
    <w:p w14:paraId="1ED03DFD" w14:textId="27F3098F" w:rsidR="00BF3DEA" w:rsidRPr="00BF3DEA" w:rsidRDefault="00BF3DEA" w:rsidP="00BF3DEA">
      <w:r>
        <w:t xml:space="preserve">A espessura das juntas de assentamento, horizontais e verticais, deve ser considerada entre </w:t>
      </w:r>
      <w:r w:rsidR="00B139DD">
        <w:t>1,0</w:t>
      </w:r>
      <w:r>
        <w:t xml:space="preserve"> mm e </w:t>
      </w:r>
      <w:r w:rsidR="00F17C6E">
        <w:t>3</w:t>
      </w:r>
      <w:r>
        <w:t>,0 mm</w:t>
      </w:r>
      <w:r w:rsidR="002C121E">
        <w:t>, após esmagamento do composto polimérico</w:t>
      </w:r>
      <w:r>
        <w:t>.</w:t>
      </w:r>
    </w:p>
    <w:p w14:paraId="78BF8F92" w14:textId="0948DF70" w:rsidR="003C6735" w:rsidRPr="00CA47F3" w:rsidRDefault="003C6735" w:rsidP="00CA47F3">
      <w:pPr>
        <w:pStyle w:val="Ttulo2"/>
        <w:ind w:left="431" w:hanging="431"/>
        <w:rPr>
          <w:sz w:val="24"/>
          <w:szCs w:val="24"/>
        </w:rPr>
      </w:pPr>
      <w:r w:rsidRPr="00CA47F3">
        <w:rPr>
          <w:sz w:val="24"/>
          <w:szCs w:val="24"/>
        </w:rPr>
        <w:t>Deslocamentos-limite</w:t>
      </w:r>
    </w:p>
    <w:p w14:paraId="4BB08A1A" w14:textId="0DC35BD1" w:rsidR="003C6735" w:rsidRPr="00CA47F3" w:rsidRDefault="003C6735" w:rsidP="00FB7DD8">
      <w:pPr>
        <w:pStyle w:val="Ttulo3"/>
        <w:ind w:left="505" w:hanging="505"/>
        <w:rPr>
          <w:i w:val="0"/>
          <w:iCs/>
        </w:rPr>
      </w:pPr>
      <w:r w:rsidRPr="00CA47F3">
        <w:rPr>
          <w:i w:val="0"/>
          <w:iCs/>
        </w:rPr>
        <w:t>Elementos de apoio</w:t>
      </w:r>
      <w:r w:rsidR="001531EC" w:rsidRPr="00CA47F3">
        <w:rPr>
          <w:i w:val="0"/>
          <w:iCs/>
        </w:rPr>
        <w:t xml:space="preserve"> das alvenarias</w:t>
      </w:r>
    </w:p>
    <w:p w14:paraId="1AA620B1" w14:textId="2FB3D2C0" w:rsidR="00BF3DEA" w:rsidRPr="00BF3DEA" w:rsidRDefault="00BF3DEA" w:rsidP="00BF3DEA">
      <w:r w:rsidRPr="00BF3DEA">
        <w:t>Os elementos estruturais que servem de apoio para a alvenaria (lajes, vigas etc.) não podem apresentar deslocamentos finais maiores que L/250 e 10 mm para peças em balanço, ou L/500 e 10 mm nos demais casos, considerando ações no</w:t>
      </w:r>
      <w:r>
        <w:t xml:space="preserve"> </w:t>
      </w:r>
      <w:r w:rsidRPr="00BF3DEA">
        <w:t xml:space="preserve">estado-limite de serviço, com combinação </w:t>
      </w:r>
      <w:r w:rsidR="00740428">
        <w:t>quase permanente</w:t>
      </w:r>
      <w:r w:rsidRPr="00BF3DEA">
        <w:t>.</w:t>
      </w:r>
    </w:p>
    <w:p w14:paraId="38D33FC5" w14:textId="237C2EB4" w:rsidR="006C4057" w:rsidRPr="00CA47F3" w:rsidRDefault="006C4057" w:rsidP="006C4057">
      <w:pPr>
        <w:pStyle w:val="Ttulo1"/>
        <w:rPr>
          <w:sz w:val="26"/>
          <w:szCs w:val="26"/>
        </w:rPr>
      </w:pPr>
      <w:r w:rsidRPr="00CA47F3">
        <w:rPr>
          <w:sz w:val="26"/>
          <w:szCs w:val="26"/>
        </w:rPr>
        <w:lastRenderedPageBreak/>
        <w:t>Dimensionamento</w:t>
      </w:r>
    </w:p>
    <w:p w14:paraId="3BB1EC7F" w14:textId="77777777" w:rsidR="00814A1F" w:rsidRPr="009F0D2A" w:rsidRDefault="00814A1F" w:rsidP="009F0D2A">
      <w:pPr>
        <w:pStyle w:val="Ttulo2"/>
        <w:ind w:left="431" w:hanging="431"/>
        <w:rPr>
          <w:sz w:val="24"/>
          <w:szCs w:val="24"/>
        </w:rPr>
      </w:pPr>
      <w:r w:rsidRPr="009F0D2A">
        <w:rPr>
          <w:sz w:val="24"/>
          <w:szCs w:val="24"/>
        </w:rPr>
        <w:t>Disposições gerais</w:t>
      </w:r>
    </w:p>
    <w:p w14:paraId="33CAA6F8" w14:textId="77777777" w:rsidR="00814A1F" w:rsidRPr="007F3836" w:rsidRDefault="00814A1F" w:rsidP="00814A1F">
      <w:r w:rsidRPr="007F3836">
        <w:t xml:space="preserve">Para um elemento de alvenaria em estado-limite último, o esforço solicitante de cálculo, </w:t>
      </w:r>
      <w:proofErr w:type="spellStart"/>
      <w:r w:rsidRPr="00C92909">
        <w:rPr>
          <w:i/>
          <w:iCs/>
        </w:rPr>
        <w:t>S</w:t>
      </w:r>
      <w:r w:rsidRPr="00C92909">
        <w:rPr>
          <w:i/>
          <w:iCs/>
          <w:vertAlign w:val="subscript"/>
        </w:rPr>
        <w:t>d</w:t>
      </w:r>
      <w:proofErr w:type="spellEnd"/>
      <w:r w:rsidRPr="007F3836">
        <w:t xml:space="preserve">, deve ser menor ou igual ao esforço resistente de cálculo, </w:t>
      </w:r>
      <w:r w:rsidRPr="00C92909">
        <w:rPr>
          <w:i/>
          <w:iCs/>
        </w:rPr>
        <w:t>R</w:t>
      </w:r>
      <w:r w:rsidRPr="00C92909">
        <w:rPr>
          <w:i/>
          <w:iCs/>
          <w:vertAlign w:val="subscript"/>
        </w:rPr>
        <w:t>d</w:t>
      </w:r>
      <w:r w:rsidRPr="007F3836">
        <w:t>. O dimensionamento deve ser realizado considerando-se a seção homogênea e com sua área bruta, exceto quando especificamente indicado.</w:t>
      </w:r>
    </w:p>
    <w:p w14:paraId="0713CB0C" w14:textId="77777777" w:rsidR="00814A1F" w:rsidRPr="009F0D2A" w:rsidRDefault="00814A1F" w:rsidP="00FB7DD8">
      <w:pPr>
        <w:pStyle w:val="Ttulo3"/>
        <w:ind w:left="505" w:hanging="505"/>
        <w:rPr>
          <w:i w:val="0"/>
          <w:iCs/>
        </w:rPr>
      </w:pPr>
      <w:r w:rsidRPr="009F0D2A">
        <w:rPr>
          <w:i w:val="0"/>
          <w:iCs/>
        </w:rPr>
        <w:t>Alvenaria não armada</w:t>
      </w:r>
    </w:p>
    <w:p w14:paraId="1D6139D2" w14:textId="77777777" w:rsidR="00814A1F" w:rsidRPr="007F3836" w:rsidRDefault="00814A1F" w:rsidP="00814A1F">
      <w:r w:rsidRPr="007F3836">
        <w:t>No projeto de elementos de alvenaria não armada submetidos a tensões normais, admite-se o seguinte:</w:t>
      </w:r>
    </w:p>
    <w:p w14:paraId="35F3DD95" w14:textId="77777777" w:rsidR="00814A1F" w:rsidRPr="007F3836" w:rsidRDefault="00814A1F" w:rsidP="00C2618C">
      <w:pPr>
        <w:pStyle w:val="PargrafodaLista"/>
        <w:numPr>
          <w:ilvl w:val="0"/>
          <w:numId w:val="2"/>
        </w:numPr>
        <w:ind w:left="357" w:hanging="357"/>
      </w:pPr>
      <w:r w:rsidRPr="007F3836">
        <w:t>as seções transversais se mantêm planas após a deformação;</w:t>
      </w:r>
    </w:p>
    <w:p w14:paraId="6788665F" w14:textId="26B4F8CB" w:rsidR="00814A1F" w:rsidRPr="00F17C6E" w:rsidRDefault="00196049" w:rsidP="00C2618C">
      <w:pPr>
        <w:pStyle w:val="PargrafodaLista"/>
        <w:numPr>
          <w:ilvl w:val="0"/>
          <w:numId w:val="2"/>
        </w:numPr>
        <w:ind w:left="357" w:hanging="357"/>
      </w:pPr>
      <w:r>
        <w:t>não deve existir tensão de tração</w:t>
      </w:r>
      <w:r w:rsidR="00814A1F" w:rsidRPr="00F17C6E">
        <w:t>;</w:t>
      </w:r>
    </w:p>
    <w:p w14:paraId="76CC265F" w14:textId="65881820" w:rsidR="00814A1F" w:rsidRPr="00243585" w:rsidRDefault="00814A1F" w:rsidP="00C2618C">
      <w:pPr>
        <w:pStyle w:val="PargrafodaLista"/>
        <w:numPr>
          <w:ilvl w:val="0"/>
          <w:numId w:val="2"/>
        </w:numPr>
        <w:ind w:left="357" w:hanging="357"/>
      </w:pPr>
      <w:r w:rsidRPr="00F17C6E">
        <w:t xml:space="preserve">as máximas tensões de compressão devem ser menores ou iguais à resistência à </w:t>
      </w:r>
      <w:r w:rsidRPr="00243585">
        <w:t xml:space="preserve">compressão da alvenaria indicada em </w:t>
      </w:r>
      <w:r w:rsidR="00270361" w:rsidRPr="00243585">
        <w:fldChar w:fldCharType="begin"/>
      </w:r>
      <w:r w:rsidR="00270361" w:rsidRPr="00243585">
        <w:instrText xml:space="preserve"> REF _Ref186210442 \w \h </w:instrText>
      </w:r>
      <w:r w:rsidR="000B3114" w:rsidRPr="00243585">
        <w:instrText xml:space="preserve"> \* MERGEFORMAT </w:instrText>
      </w:r>
      <w:r w:rsidR="00270361" w:rsidRPr="00243585">
        <w:fldChar w:fldCharType="separate"/>
      </w:r>
      <w:r w:rsidR="0024680C" w:rsidRPr="00243585">
        <w:t>6.2.2.2</w:t>
      </w:r>
      <w:r w:rsidR="00270361" w:rsidRPr="00243585">
        <w:fldChar w:fldCharType="end"/>
      </w:r>
      <w:r w:rsidR="00270361" w:rsidRPr="00243585">
        <w:t>.</w:t>
      </w:r>
    </w:p>
    <w:p w14:paraId="10E8FEE1" w14:textId="0B13F988" w:rsidR="00814A1F" w:rsidRPr="007F3836" w:rsidRDefault="00814A1F" w:rsidP="00814A1F">
      <w:r w:rsidRPr="007F3836">
        <w:t xml:space="preserve">As seções transversais submetidas à flexão são consideradas no </w:t>
      </w:r>
      <w:r w:rsidR="00364171" w:rsidRPr="007F3836">
        <w:t>Está</w:t>
      </w:r>
      <w:r w:rsidR="00364171">
        <w:t>d</w:t>
      </w:r>
      <w:r w:rsidR="00364171" w:rsidRPr="007F3836">
        <w:t xml:space="preserve">io </w:t>
      </w:r>
      <w:r w:rsidRPr="007F3836">
        <w:t>I (alvenaria não fissurada e comportamento elástico linear dos materiais).</w:t>
      </w:r>
    </w:p>
    <w:p w14:paraId="5586B4A9" w14:textId="77777777" w:rsidR="00814A1F" w:rsidRPr="000B3114" w:rsidRDefault="00814A1F" w:rsidP="000B3114">
      <w:pPr>
        <w:pStyle w:val="Ttulo2"/>
        <w:ind w:left="431" w:hanging="431"/>
        <w:rPr>
          <w:sz w:val="24"/>
          <w:szCs w:val="24"/>
        </w:rPr>
      </w:pPr>
      <w:bookmarkStart w:id="27" w:name="_Ref186313985"/>
      <w:r w:rsidRPr="000B3114">
        <w:rPr>
          <w:sz w:val="24"/>
          <w:szCs w:val="24"/>
        </w:rPr>
        <w:t>Dimensionamento da alvenaria à compressão simples</w:t>
      </w:r>
      <w:bookmarkEnd w:id="27"/>
    </w:p>
    <w:p w14:paraId="2BCD96B4" w14:textId="10467166" w:rsidR="00814A1F" w:rsidRPr="00455E1F" w:rsidRDefault="00814A1F" w:rsidP="00FB7DD8">
      <w:pPr>
        <w:pStyle w:val="Ttulo3"/>
        <w:ind w:left="505" w:hanging="505"/>
        <w:rPr>
          <w:i w:val="0"/>
          <w:iCs/>
        </w:rPr>
      </w:pPr>
      <w:r w:rsidRPr="00455E1F">
        <w:rPr>
          <w:i w:val="0"/>
          <w:iCs/>
        </w:rPr>
        <w:t>Resist</w:t>
      </w:r>
      <w:r w:rsidR="007F3836" w:rsidRPr="00455E1F">
        <w:rPr>
          <w:i w:val="0"/>
          <w:iCs/>
        </w:rPr>
        <w:t>ên</w:t>
      </w:r>
      <w:r w:rsidRPr="00455E1F">
        <w:rPr>
          <w:i w:val="0"/>
          <w:iCs/>
        </w:rPr>
        <w:t>cia de cálculo em paredes e pilares não armados</w:t>
      </w:r>
    </w:p>
    <w:p w14:paraId="091B5308" w14:textId="59A5E00A" w:rsidR="00814A1F" w:rsidRPr="007F3836" w:rsidRDefault="00814A1F" w:rsidP="00814A1F">
      <w:pPr>
        <w:widowControl w:val="0"/>
        <w:tabs>
          <w:tab w:val="left" w:pos="1708"/>
        </w:tabs>
        <w:autoSpaceDE w:val="0"/>
        <w:autoSpaceDN w:val="0"/>
      </w:pPr>
      <w:r w:rsidRPr="007F3836">
        <w:t xml:space="preserve">Em paredes </w:t>
      </w:r>
      <w:r w:rsidR="00B85D9E">
        <w:t>e</w:t>
      </w:r>
      <w:r w:rsidR="00B85D9E" w:rsidRPr="007F3836">
        <w:t xml:space="preserve"> </w:t>
      </w:r>
      <w:r w:rsidRPr="007F3836">
        <w:t>pilares de alvenaria estrutural, o esforço resistente de cálculo é calculado conforme as seguintes equações:</w:t>
      </w:r>
    </w:p>
    <w:p w14:paraId="784D1300" w14:textId="02A7872F" w:rsidR="00814A1F" w:rsidRPr="007F3836" w:rsidRDefault="00814A1F" w:rsidP="00814A1F">
      <w:pPr>
        <w:widowControl w:val="0"/>
        <w:tabs>
          <w:tab w:val="left" w:pos="1708"/>
        </w:tabs>
        <w:autoSpaceDE w:val="0"/>
        <w:autoSpaceDN w:val="0"/>
      </w:pPr>
      <w:proofErr w:type="spellStart"/>
      <w:r w:rsidRPr="00455E1F">
        <w:rPr>
          <w:i/>
          <w:iCs/>
        </w:rPr>
        <w:t>N</w:t>
      </w:r>
      <w:r w:rsidR="001646BA" w:rsidRPr="00455E1F">
        <w:rPr>
          <w:i/>
          <w:iCs/>
          <w:vertAlign w:val="subscript"/>
        </w:rPr>
        <w:t>R</w:t>
      </w:r>
      <w:r w:rsidRPr="00455E1F">
        <w:rPr>
          <w:i/>
          <w:iCs/>
          <w:vertAlign w:val="subscript"/>
        </w:rPr>
        <w:t>d</w:t>
      </w:r>
      <w:proofErr w:type="spellEnd"/>
      <w:r w:rsidRPr="007F3836">
        <w:t xml:space="preserve"> = </w:t>
      </w:r>
      <w:proofErr w:type="spellStart"/>
      <w:r w:rsidRPr="00455E1F">
        <w:rPr>
          <w:i/>
          <w:iCs/>
        </w:rPr>
        <w:t>f</w:t>
      </w:r>
      <w:r w:rsidRPr="00455E1F">
        <w:rPr>
          <w:i/>
          <w:iCs/>
          <w:vertAlign w:val="subscript"/>
        </w:rPr>
        <w:t>d</w:t>
      </w:r>
      <w:proofErr w:type="spellEnd"/>
      <w:r w:rsidRPr="007F3836">
        <w:t xml:space="preserve"> </w:t>
      </w:r>
      <w:r w:rsidRPr="007F3836">
        <w:rPr>
          <w:vertAlign w:val="subscript"/>
        </w:rPr>
        <w:t>x</w:t>
      </w:r>
      <w:r w:rsidRPr="007F3836">
        <w:t xml:space="preserve"> </w:t>
      </w:r>
      <w:r w:rsidRPr="00455E1F">
        <w:rPr>
          <w:i/>
          <w:iCs/>
        </w:rPr>
        <w:t>A</w:t>
      </w:r>
      <w:r w:rsidRPr="007F3836">
        <w:t xml:space="preserve"> </w:t>
      </w:r>
      <w:r w:rsidRPr="007F3836">
        <w:rPr>
          <w:vertAlign w:val="subscript"/>
        </w:rPr>
        <w:t>x</w:t>
      </w:r>
      <w:r w:rsidRPr="007F3836">
        <w:t xml:space="preserve"> </w:t>
      </w:r>
      <w:r w:rsidRPr="00455E1F">
        <w:rPr>
          <w:i/>
          <w:iCs/>
        </w:rPr>
        <w:t>R</w:t>
      </w:r>
      <w:r w:rsidRPr="007F3836">
        <w:t xml:space="preserve"> (para paredes)</w:t>
      </w:r>
    </w:p>
    <w:p w14:paraId="3FDED093" w14:textId="6FF9CD98" w:rsidR="00814A1F" w:rsidRPr="007F3836" w:rsidRDefault="00814A1F" w:rsidP="00814A1F">
      <w:pPr>
        <w:widowControl w:val="0"/>
        <w:tabs>
          <w:tab w:val="left" w:pos="1708"/>
        </w:tabs>
        <w:autoSpaceDE w:val="0"/>
        <w:autoSpaceDN w:val="0"/>
      </w:pPr>
      <w:proofErr w:type="spellStart"/>
      <w:r w:rsidRPr="00455E1F">
        <w:rPr>
          <w:i/>
          <w:iCs/>
        </w:rPr>
        <w:t>N</w:t>
      </w:r>
      <w:r w:rsidR="001646BA" w:rsidRPr="00455E1F">
        <w:rPr>
          <w:i/>
          <w:iCs/>
          <w:vertAlign w:val="subscript"/>
        </w:rPr>
        <w:t>R</w:t>
      </w:r>
      <w:r w:rsidRPr="00455E1F">
        <w:rPr>
          <w:i/>
          <w:iCs/>
          <w:vertAlign w:val="subscript"/>
        </w:rPr>
        <w:t>d</w:t>
      </w:r>
      <w:proofErr w:type="spellEnd"/>
      <w:r w:rsidRPr="007F3836">
        <w:t xml:space="preserve"> = 0,9</w:t>
      </w:r>
      <w:r w:rsidR="00250850">
        <w:t xml:space="preserve"> </w:t>
      </w:r>
      <w:r w:rsidR="00250850" w:rsidRPr="007F3836">
        <w:rPr>
          <w:vertAlign w:val="subscript"/>
        </w:rPr>
        <w:t>x</w:t>
      </w:r>
      <w:r w:rsidRPr="007F3836">
        <w:t xml:space="preserve"> </w:t>
      </w:r>
      <w:proofErr w:type="spellStart"/>
      <w:r w:rsidRPr="00455E1F">
        <w:rPr>
          <w:i/>
          <w:iCs/>
        </w:rPr>
        <w:t>f</w:t>
      </w:r>
      <w:r w:rsidRPr="00455E1F">
        <w:rPr>
          <w:i/>
          <w:iCs/>
          <w:vertAlign w:val="subscript"/>
        </w:rPr>
        <w:t>d</w:t>
      </w:r>
      <w:proofErr w:type="spellEnd"/>
      <w:r w:rsidRPr="007F3836">
        <w:t xml:space="preserve"> </w:t>
      </w:r>
      <w:r w:rsidRPr="007F3836">
        <w:rPr>
          <w:vertAlign w:val="subscript"/>
        </w:rPr>
        <w:t>x</w:t>
      </w:r>
      <w:r w:rsidRPr="007F3836">
        <w:t xml:space="preserve"> </w:t>
      </w:r>
      <w:r w:rsidRPr="00455E1F">
        <w:rPr>
          <w:i/>
          <w:iCs/>
        </w:rPr>
        <w:t>A</w:t>
      </w:r>
      <w:r w:rsidRPr="007F3836">
        <w:t xml:space="preserve"> </w:t>
      </w:r>
      <w:r w:rsidRPr="007F3836">
        <w:rPr>
          <w:vertAlign w:val="subscript"/>
        </w:rPr>
        <w:t>x</w:t>
      </w:r>
      <w:r w:rsidRPr="007F3836">
        <w:t xml:space="preserve"> </w:t>
      </w:r>
      <w:r w:rsidRPr="00455E1F">
        <w:rPr>
          <w:i/>
          <w:iCs/>
        </w:rPr>
        <w:t>R</w:t>
      </w:r>
      <w:r w:rsidRPr="007F3836">
        <w:t xml:space="preserve"> (para p</w:t>
      </w:r>
      <w:r w:rsidR="009B5852">
        <w:t>ilares</w:t>
      </w:r>
      <w:r w:rsidRPr="007F3836">
        <w:t>)</w:t>
      </w:r>
    </w:p>
    <w:p w14:paraId="61F46EB1" w14:textId="77777777" w:rsidR="00814A1F" w:rsidRPr="007F3836" w:rsidRDefault="00814A1F" w:rsidP="00814A1F">
      <w:r w:rsidRPr="007F3836">
        <w:t>onde</w:t>
      </w:r>
    </w:p>
    <w:p w14:paraId="79476D97" w14:textId="5D5130E9" w:rsidR="00814A1F" w:rsidRPr="007F3836" w:rsidRDefault="00814A1F" w:rsidP="00814A1F">
      <w:proofErr w:type="spellStart"/>
      <w:r w:rsidRPr="00455E1F">
        <w:rPr>
          <w:i/>
          <w:iCs/>
        </w:rPr>
        <w:t>N</w:t>
      </w:r>
      <w:r w:rsidR="00261F3C" w:rsidRPr="00455E1F">
        <w:rPr>
          <w:i/>
          <w:iCs/>
          <w:vertAlign w:val="subscript"/>
        </w:rPr>
        <w:t>R</w:t>
      </w:r>
      <w:r w:rsidRPr="00455E1F">
        <w:rPr>
          <w:i/>
          <w:iCs/>
          <w:vertAlign w:val="subscript"/>
        </w:rPr>
        <w:t>d</w:t>
      </w:r>
      <w:proofErr w:type="spellEnd"/>
      <w:r w:rsidRPr="007F3836">
        <w:t xml:space="preserve"> é a força normal resistente de cálculo;</w:t>
      </w:r>
    </w:p>
    <w:p w14:paraId="44442C45" w14:textId="4E1E6A10" w:rsidR="00814A1F" w:rsidRPr="007F3836" w:rsidRDefault="00261F3C" w:rsidP="00814A1F">
      <w:proofErr w:type="spellStart"/>
      <w:r w:rsidRPr="00455E1F">
        <w:rPr>
          <w:i/>
          <w:iCs/>
        </w:rPr>
        <w:t>f</w:t>
      </w:r>
      <w:r w:rsidRPr="00455E1F">
        <w:rPr>
          <w:i/>
          <w:iCs/>
          <w:vertAlign w:val="subscript"/>
        </w:rPr>
        <w:t>d</w:t>
      </w:r>
      <w:proofErr w:type="spellEnd"/>
      <w:r w:rsidRPr="007F3836">
        <w:t xml:space="preserve"> </w:t>
      </w:r>
      <w:r w:rsidR="00814A1F" w:rsidRPr="007F3836">
        <w:t>é a resistência à compressão de cálculo da alvenaria;</w:t>
      </w:r>
    </w:p>
    <w:p w14:paraId="06633AFF" w14:textId="77777777" w:rsidR="00814A1F" w:rsidRPr="007F3836" w:rsidRDefault="00814A1F" w:rsidP="00814A1F">
      <w:r w:rsidRPr="00455E1F">
        <w:rPr>
          <w:i/>
          <w:iCs/>
        </w:rPr>
        <w:t>A</w:t>
      </w:r>
      <w:r w:rsidRPr="007F3836">
        <w:t xml:space="preserve"> é a área da seção resistente;</w:t>
      </w:r>
    </w:p>
    <w:p w14:paraId="27DAF9A4" w14:textId="77777777" w:rsidR="00814A1F" w:rsidRPr="007F3836" w:rsidRDefault="00814A1F" w:rsidP="00814A1F">
      <w:pPr>
        <w:rPr>
          <w:rFonts w:eastAsiaTheme="minorEastAsia"/>
        </w:rPr>
      </w:pPr>
      <w:r w:rsidRPr="00455E1F">
        <w:rPr>
          <w:i/>
          <w:iCs/>
        </w:rPr>
        <w:t>R</w:t>
      </w:r>
      <w:r w:rsidRPr="007F3836">
        <w:t xml:space="preserve"> é o coeficiente redutor devido à esbeltez da parede = </w:t>
      </w:r>
      <m:oMath>
        <m:r>
          <w:rPr>
            <w:rFonts w:ascii="Cambria Math" w:hAnsi="Cambria Math"/>
          </w:rPr>
          <m:t>[1-</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λ</m:t>
                    </m:r>
                  </m:num>
                  <m:den>
                    <m:r>
                      <w:rPr>
                        <w:rFonts w:ascii="Cambria Math" w:hAnsi="Cambria Math"/>
                      </w:rPr>
                      <m:t>40</m:t>
                    </m:r>
                  </m:den>
                </m:f>
              </m:e>
            </m:d>
          </m:e>
          <m:sup>
            <m:r>
              <w:rPr>
                <w:rFonts w:ascii="Cambria Math" w:hAnsi="Cambria Math"/>
              </w:rPr>
              <m:t>3</m:t>
            </m:r>
          </m:sup>
        </m:sSup>
        <m:r>
          <w:rPr>
            <w:rFonts w:ascii="Cambria Math" w:hAnsi="Cambria Math"/>
          </w:rPr>
          <m:t>]</m:t>
        </m:r>
      </m:oMath>
    </w:p>
    <w:p w14:paraId="245AFC8A" w14:textId="5FDBF694" w:rsidR="00814A1F" w:rsidRPr="003A3272" w:rsidRDefault="00814A1F" w:rsidP="00FB7DD8">
      <w:pPr>
        <w:pStyle w:val="Ttulo3"/>
        <w:ind w:left="505" w:hanging="505"/>
        <w:rPr>
          <w:i w:val="0"/>
          <w:iCs/>
        </w:rPr>
      </w:pPr>
      <w:r w:rsidRPr="003A3272">
        <w:rPr>
          <w:i w:val="0"/>
          <w:iCs/>
        </w:rPr>
        <w:t>Força</w:t>
      </w:r>
      <w:r w:rsidRPr="003A3272">
        <w:rPr>
          <w:i w:val="0"/>
          <w:iCs/>
          <w:spacing w:val="28"/>
        </w:rPr>
        <w:t xml:space="preserve"> </w:t>
      </w:r>
      <w:r w:rsidRPr="003A3272">
        <w:rPr>
          <w:i w:val="0"/>
          <w:iCs/>
        </w:rPr>
        <w:t>concentrada</w:t>
      </w:r>
    </w:p>
    <w:p w14:paraId="15DA4A35" w14:textId="5562C797" w:rsidR="000732F1" w:rsidRDefault="00591FF3" w:rsidP="00814A1F">
      <w:r>
        <w:t>A</w:t>
      </w:r>
      <w:r w:rsidR="00814A1F" w:rsidRPr="007F3836">
        <w:t xml:space="preserve"> região de contato </w:t>
      </w:r>
      <w:r w:rsidR="000732F1">
        <w:t xml:space="preserve">da força concentrada deve ter suas </w:t>
      </w:r>
      <w:r w:rsidR="00814A1F" w:rsidRPr="007F3836">
        <w:t xml:space="preserve">dimensões </w:t>
      </w:r>
      <w:r w:rsidR="000732F1">
        <w:t>(largura e comprimento de contato)</w:t>
      </w:r>
      <w:r w:rsidR="00814A1F" w:rsidRPr="007F3836">
        <w:t xml:space="preserve"> maiores ou iguais a 50 mm </w:t>
      </w:r>
      <w:r w:rsidR="000732F1">
        <w:t>e maiores que</w:t>
      </w:r>
      <w:r w:rsidR="000732F1" w:rsidRPr="007F3836">
        <w:t xml:space="preserve"> </w:t>
      </w:r>
      <w:r w:rsidR="00814A1F" w:rsidRPr="007F3836">
        <w:t>t/3</w:t>
      </w:r>
      <w:r w:rsidR="000732F1">
        <w:t>.</w:t>
      </w:r>
    </w:p>
    <w:p w14:paraId="08FE0471" w14:textId="68F8D051" w:rsidR="00C244D1" w:rsidRDefault="00C244D1" w:rsidP="00814A1F">
      <w:r>
        <w:t xml:space="preserve">O contato deve ocorrer em canaleta </w:t>
      </w:r>
      <w:proofErr w:type="spellStart"/>
      <w:r>
        <w:t>gr</w:t>
      </w:r>
      <w:r w:rsidR="00AD2A6B">
        <w:t>a</w:t>
      </w:r>
      <w:r>
        <w:t>uteada</w:t>
      </w:r>
      <w:proofErr w:type="spellEnd"/>
      <w:r>
        <w:t xml:space="preserve"> ou em coxim de concreto.</w:t>
      </w:r>
    </w:p>
    <w:p w14:paraId="77D66C3B" w14:textId="77777777" w:rsidR="003A3272" w:rsidRDefault="003A3272">
      <w:pPr>
        <w:spacing w:line="240" w:lineRule="auto"/>
        <w:jc w:val="left"/>
      </w:pPr>
      <w:r>
        <w:br w:type="page"/>
      </w:r>
    </w:p>
    <w:p w14:paraId="0EE99088" w14:textId="34A34D3A" w:rsidR="00BB203F" w:rsidRDefault="00AD2A6B" w:rsidP="00814A1F">
      <w:r>
        <w:lastRenderedPageBreak/>
        <w:t xml:space="preserve">Quando ocorrer em canaleta </w:t>
      </w:r>
      <w:proofErr w:type="spellStart"/>
      <w:r w:rsidR="003A3272">
        <w:t>grauteada</w:t>
      </w:r>
      <w:proofErr w:type="spellEnd"/>
      <w:r w:rsidR="003A3272">
        <w:t>, tensão</w:t>
      </w:r>
      <w:r w:rsidR="000732F1">
        <w:t xml:space="preserve"> de contato</w:t>
      </w:r>
      <w:r>
        <w:t xml:space="preserve"> </w:t>
      </w:r>
      <w:r w:rsidR="000732F1">
        <w:t>deve</w:t>
      </w:r>
      <w:r w:rsidR="00BB203F">
        <w:t xml:space="preserve"> </w:t>
      </w:r>
      <w:r w:rsidR="003B7225">
        <w:t>atender</w:t>
      </w:r>
      <w:r w:rsidR="00BB203F">
        <w:t>:</w:t>
      </w:r>
    </w:p>
    <w:p w14:paraId="5196F52D" w14:textId="208C90CB" w:rsidR="00814A1F" w:rsidRPr="007F3836" w:rsidRDefault="00000000" w:rsidP="00814A1F">
      <m:oMath>
        <m:sSub>
          <m:sSubPr>
            <m:ctrlPr>
              <w:rPr>
                <w:rFonts w:ascii="Cambria Math" w:hAnsi="Cambria Math"/>
                <w:i/>
              </w:rPr>
            </m:ctrlPr>
          </m:sSubPr>
          <m:e>
            <m:r>
              <w:rPr>
                <w:rFonts w:ascii="Cambria Math" w:hAnsi="Cambria Math"/>
              </w:rPr>
              <m:t>σ</m:t>
            </m:r>
          </m:e>
          <m:sub>
            <m:r>
              <w:rPr>
                <w:rFonts w:ascii="Cambria Math" w:hAnsi="Cambria Math"/>
              </w:rPr>
              <m:t>d</m:t>
            </m:r>
          </m:sub>
        </m:sSub>
        <m:r>
          <w:rPr>
            <w:rFonts w:ascii="Cambria Math" w:hAnsi="Cambria Math"/>
          </w:rPr>
          <m:t>≤</m:t>
        </m:r>
        <m:f>
          <m:fPr>
            <m:type m:val="skw"/>
            <m:ctrlPr>
              <w:rPr>
                <w:rFonts w:ascii="Cambria Math" w:hAnsi="Cambria Math"/>
                <w:i/>
              </w:rPr>
            </m:ctrlPr>
          </m:fPr>
          <m:num>
            <m:sSub>
              <m:sSubPr>
                <m:ctrlPr>
                  <w:rPr>
                    <w:rFonts w:ascii="Cambria Math" w:hAnsi="Cambria Math"/>
                    <w:i/>
                  </w:rPr>
                </m:ctrlPr>
              </m:sSubPr>
              <m:e>
                <m:r>
                  <w:rPr>
                    <w:rFonts w:ascii="Cambria Math" w:hAnsi="Cambria Math"/>
                  </w:rPr>
                  <m:t>f</m:t>
                </m:r>
              </m:e>
              <m:sub>
                <m:r>
                  <w:rPr>
                    <w:rFonts w:ascii="Cambria Math" w:hAnsi="Cambria Math"/>
                  </w:rPr>
                  <m:t>pk</m:t>
                </m:r>
              </m:sub>
            </m:sSub>
          </m:num>
          <m:den>
            <m:sSub>
              <m:sSubPr>
                <m:ctrlPr>
                  <w:rPr>
                    <w:rFonts w:ascii="Cambria Math" w:hAnsi="Cambria Math"/>
                    <w:i/>
                  </w:rPr>
                </m:ctrlPr>
              </m:sSubPr>
              <m:e>
                <m:r>
                  <w:rPr>
                    <w:rFonts w:ascii="Cambria Math" w:hAnsi="Cambria Math"/>
                  </w:rPr>
                  <m:t>γ</m:t>
                </m:r>
              </m:e>
              <m:sub>
                <m:r>
                  <w:rPr>
                    <w:rFonts w:ascii="Cambria Math" w:hAnsi="Cambria Math"/>
                  </w:rPr>
                  <m:t>m</m:t>
                </m:r>
              </m:sub>
            </m:sSub>
          </m:den>
        </m:f>
        <m:r>
          <m:rPr>
            <m:sty m:val="p"/>
          </m:rPr>
          <w:rPr>
            <w:rFonts w:ascii="Cambria Math" w:hAnsi="Cambria Math"/>
          </w:rPr>
          <m:t>.</m:t>
        </m:r>
      </m:oMath>
      <w:r w:rsidR="00814A1F" w:rsidRPr="007F3836">
        <w:t xml:space="preserve"> </w:t>
      </w:r>
    </w:p>
    <w:p w14:paraId="7E32838E" w14:textId="4BC43053" w:rsidR="00414962" w:rsidRPr="003A3272" w:rsidRDefault="00414962" w:rsidP="003A3272">
      <w:pPr>
        <w:pStyle w:val="Pargrafo11pt"/>
        <w:rPr>
          <w:rFonts w:cs="Arial"/>
          <w:szCs w:val="22"/>
        </w:rPr>
      </w:pPr>
      <w:r w:rsidRPr="00414962">
        <w:rPr>
          <w:szCs w:val="22"/>
        </w:rPr>
        <w:t xml:space="preserve">onde </w:t>
      </w:r>
      <m:oMath>
        <m:sSub>
          <m:sSubPr>
            <m:ctrlPr>
              <w:rPr>
                <w:rFonts w:ascii="Cambria Math" w:hAnsi="Cambria Math" w:cs="Arial"/>
                <w:i/>
                <w:szCs w:val="22"/>
              </w:rPr>
            </m:ctrlPr>
          </m:sSubPr>
          <m:e>
            <m:r>
              <w:rPr>
                <w:rFonts w:ascii="Cambria Math" w:hAnsi="Cambria Math" w:cs="Arial"/>
                <w:szCs w:val="22"/>
              </w:rPr>
              <m:t>σ</m:t>
            </m:r>
          </m:e>
          <m:sub>
            <m:r>
              <w:rPr>
                <w:rFonts w:ascii="Cambria Math" w:hAnsi="Cambria Math" w:cs="Arial"/>
                <w:szCs w:val="22"/>
              </w:rPr>
              <m:t>d</m:t>
            </m:r>
          </m:sub>
        </m:sSub>
      </m:oMath>
      <w:r w:rsidRPr="003A3272">
        <w:rPr>
          <w:rFonts w:cs="Arial"/>
          <w:szCs w:val="22"/>
        </w:rPr>
        <w:t xml:space="preserve"> é a tensão de contato</w:t>
      </w:r>
      <w:r w:rsidR="00024970">
        <w:rPr>
          <w:rFonts w:cs="Arial"/>
          <w:szCs w:val="22"/>
        </w:rPr>
        <w:t xml:space="preserve">, </w:t>
      </w:r>
      <w:r w:rsidR="00A3611E">
        <w:rPr>
          <w:rFonts w:cs="Arial"/>
          <w:szCs w:val="22"/>
        </w:rPr>
        <w:t>igual a</w:t>
      </w:r>
      <w:r w:rsidR="00BB203F">
        <w:rPr>
          <w:rFonts w:cs="Arial"/>
          <w:szCs w:val="22"/>
        </w:rPr>
        <w:t xml:space="preserve"> força concentrada</w:t>
      </w:r>
      <w:r w:rsidRPr="003A3272">
        <w:rPr>
          <w:rFonts w:cs="Arial"/>
          <w:szCs w:val="22"/>
        </w:rPr>
        <w:t xml:space="preserve"> em valor de projeto</w:t>
      </w:r>
      <w:r w:rsidR="00024970">
        <w:rPr>
          <w:rFonts w:cs="Arial"/>
          <w:szCs w:val="22"/>
        </w:rPr>
        <w:t xml:space="preserve"> dividida pela área de contato </w:t>
      </w:r>
      <w:r w:rsidR="00591FF3">
        <w:rPr>
          <w:rFonts w:cs="Arial"/>
          <w:szCs w:val="22"/>
        </w:rPr>
        <w:t>dessa</w:t>
      </w:r>
      <w:r w:rsidRPr="003A3272">
        <w:rPr>
          <w:rFonts w:cs="Arial"/>
          <w:szCs w:val="22"/>
        </w:rPr>
        <w:t xml:space="preserve">, somada à tensão aplicada à parede antes da inserção da </w:t>
      </w:r>
      <w:r w:rsidR="00196B19">
        <w:rPr>
          <w:rFonts w:cs="Arial"/>
          <w:szCs w:val="22"/>
        </w:rPr>
        <w:t>força</w:t>
      </w:r>
      <w:r w:rsidRPr="003A3272">
        <w:rPr>
          <w:rFonts w:cs="Arial"/>
          <w:szCs w:val="22"/>
        </w:rPr>
        <w:t xml:space="preserve"> concentrada;</w:t>
      </w:r>
    </w:p>
    <w:p w14:paraId="055F3EFD" w14:textId="39474FAA" w:rsidR="00AD2A6B" w:rsidRPr="007F3836" w:rsidRDefault="005F6432" w:rsidP="00814A1F">
      <w:r>
        <w:t>Sob a região da canaleta ou do coxim do concreto, deve-se verificar a tensão na alvenaria, considerando-se o espalhamento da carga em 45º.</w:t>
      </w:r>
    </w:p>
    <w:p w14:paraId="68F4E3FA" w14:textId="77777777" w:rsidR="00814A1F" w:rsidRPr="007F3836" w:rsidRDefault="00814A1F" w:rsidP="00274E2F">
      <w:pPr>
        <w:spacing w:after="0"/>
        <w:rPr>
          <w:shd w:val="clear" w:color="auto" w:fill="FFFFFF"/>
        </w:rPr>
      </w:pPr>
      <w:r w:rsidRPr="007F3836">
        <w:t xml:space="preserve">Esforços de </w:t>
      </w:r>
      <w:proofErr w:type="spellStart"/>
      <w:r w:rsidRPr="007F3836">
        <w:t>fendilhamento</w:t>
      </w:r>
      <w:proofErr w:type="spellEnd"/>
      <w:r w:rsidRPr="007F3836">
        <w:t xml:space="preserve"> considerados importantes devem ser verificados, podendo ser utilizado o modelo de biela e tirante da ABNT NBR 6118.</w:t>
      </w:r>
    </w:p>
    <w:p w14:paraId="7A4F1618" w14:textId="77777777" w:rsidR="006A793D" w:rsidRPr="007F3836" w:rsidRDefault="006A793D" w:rsidP="00274E2F">
      <w:pPr>
        <w:spacing w:after="0"/>
        <w:rPr>
          <w:b/>
          <w:bCs/>
        </w:rPr>
      </w:pPr>
    </w:p>
    <w:p w14:paraId="501AD7EF" w14:textId="17B1AE6B" w:rsidR="006A793D" w:rsidRPr="00BC7C2E" w:rsidRDefault="006A793D" w:rsidP="00BC7C2E">
      <w:pPr>
        <w:pStyle w:val="Ttulo2"/>
        <w:ind w:left="431" w:hanging="431"/>
        <w:rPr>
          <w:sz w:val="24"/>
          <w:szCs w:val="24"/>
        </w:rPr>
      </w:pPr>
      <w:r w:rsidRPr="00BC7C2E">
        <w:rPr>
          <w:sz w:val="24"/>
          <w:szCs w:val="24"/>
        </w:rPr>
        <w:t xml:space="preserve">Dimensionamento de elementos de alvenaria submetidos à flexão </w:t>
      </w:r>
      <w:r w:rsidR="00170002" w:rsidRPr="00BC7C2E">
        <w:rPr>
          <w:sz w:val="24"/>
          <w:szCs w:val="24"/>
        </w:rPr>
        <w:t xml:space="preserve">e </w:t>
      </w:r>
      <w:proofErr w:type="spellStart"/>
      <w:r w:rsidR="00170002" w:rsidRPr="00BC7C2E">
        <w:rPr>
          <w:sz w:val="24"/>
          <w:szCs w:val="24"/>
        </w:rPr>
        <w:t>flexocompressão</w:t>
      </w:r>
      <w:proofErr w:type="spellEnd"/>
    </w:p>
    <w:p w14:paraId="4CD9BF41" w14:textId="77777777" w:rsidR="00C93E03" w:rsidRDefault="00C93E03" w:rsidP="00C93E03">
      <w:r>
        <w:t>A</w:t>
      </w:r>
      <w:r w:rsidRPr="007F3836">
        <w:t xml:space="preserve"> alvenaria </w:t>
      </w:r>
      <w:r>
        <w:t xml:space="preserve">deve ser verificada como </w:t>
      </w:r>
      <w:r w:rsidRPr="007F3836">
        <w:t>não armada</w:t>
      </w:r>
      <w:r>
        <w:t xml:space="preserve">. </w:t>
      </w:r>
    </w:p>
    <w:p w14:paraId="1F03CB61" w14:textId="0DD949A4" w:rsidR="00F70C0E" w:rsidRDefault="00F70C0E" w:rsidP="00C93E03">
      <w:r>
        <w:t>A tensões devem ser calculadas consid</w:t>
      </w:r>
      <w:r w:rsidR="007E7A9A">
        <w:t>erando distribuição linear no Estádio I.</w:t>
      </w:r>
    </w:p>
    <w:p w14:paraId="7545C10E" w14:textId="29F16063" w:rsidR="006A793D" w:rsidRPr="00F17C6E" w:rsidRDefault="006A793D" w:rsidP="006A793D">
      <w:r w:rsidRPr="00243585">
        <w:t xml:space="preserve">A máxima tensão de compressão de cálculo não pode ultrapassar o indicado em </w:t>
      </w:r>
      <w:r w:rsidR="00B37772" w:rsidRPr="00243585">
        <w:fldChar w:fldCharType="begin"/>
      </w:r>
      <w:r w:rsidR="00B37772" w:rsidRPr="00243585">
        <w:instrText xml:space="preserve"> REF _Ref186210442 \w \h </w:instrText>
      </w:r>
      <w:r w:rsidR="00780F87" w:rsidRPr="00243585">
        <w:instrText xml:space="preserve"> \* MERGEFORMAT </w:instrText>
      </w:r>
      <w:r w:rsidR="00B37772" w:rsidRPr="00243585">
        <w:fldChar w:fldCharType="separate"/>
      </w:r>
      <w:r w:rsidR="0024680C" w:rsidRPr="00243585">
        <w:t>6.2.2.2</w:t>
      </w:r>
      <w:r w:rsidR="00B37772" w:rsidRPr="00243585">
        <w:fldChar w:fldCharType="end"/>
      </w:r>
      <w:r w:rsidR="007E7A9A" w:rsidRPr="00243585">
        <w:t>.</w:t>
      </w:r>
    </w:p>
    <w:p w14:paraId="3E3E15A2" w14:textId="4972C280" w:rsidR="006A793D" w:rsidRPr="007F3836" w:rsidRDefault="007E7A9A" w:rsidP="006A793D">
      <w:r>
        <w:t xml:space="preserve">Não deve existir tensão de </w:t>
      </w:r>
      <w:r w:rsidR="009529A2">
        <w:t xml:space="preserve">tração (tensão máxima de cálculo deve ser nula ou de compressão). </w:t>
      </w:r>
    </w:p>
    <w:p w14:paraId="3272DF7A" w14:textId="3177501E" w:rsidR="006A793D" w:rsidRPr="00780F87" w:rsidRDefault="006A793D" w:rsidP="00780F87">
      <w:pPr>
        <w:pStyle w:val="Ttulo2"/>
        <w:ind w:left="431" w:hanging="431"/>
        <w:rPr>
          <w:sz w:val="24"/>
          <w:szCs w:val="24"/>
        </w:rPr>
      </w:pPr>
      <w:r w:rsidRPr="00780F87">
        <w:rPr>
          <w:rStyle w:val="normaltextrun"/>
          <w:bCs/>
          <w:sz w:val="24"/>
          <w:szCs w:val="24"/>
          <w:lang w:val="pt-PT"/>
        </w:rPr>
        <w:t>Dimensionamento de elementos de alvenaria submetidos ao cisalhamento</w:t>
      </w:r>
    </w:p>
    <w:p w14:paraId="7BF41CEA" w14:textId="468B311C" w:rsidR="006A793D" w:rsidRPr="00B65A5F" w:rsidRDefault="006A793D" w:rsidP="00B65A5F">
      <w:pPr>
        <w:pStyle w:val="Ttulo3"/>
        <w:ind w:left="851" w:hanging="851"/>
        <w:rPr>
          <w:i w:val="0"/>
          <w:iCs/>
        </w:rPr>
      </w:pPr>
      <w:r w:rsidRPr="00B65A5F">
        <w:rPr>
          <w:i w:val="0"/>
          <w:iCs/>
        </w:rPr>
        <w:t>Tensões de cisalham</w:t>
      </w:r>
      <w:r w:rsidR="00580767" w:rsidRPr="00B65A5F">
        <w:rPr>
          <w:i w:val="0"/>
          <w:iCs/>
        </w:rPr>
        <w:t>ento</w:t>
      </w:r>
    </w:p>
    <w:p w14:paraId="0C4A7F19" w14:textId="7E1DA0E5" w:rsidR="006A793D" w:rsidRDefault="006A793D" w:rsidP="006A793D">
      <w:pPr>
        <w:pStyle w:val="paragraph"/>
        <w:spacing w:before="0" w:beforeAutospacing="0" w:after="0" w:afterAutospacing="0"/>
        <w:jc w:val="both"/>
        <w:textAlignment w:val="baseline"/>
        <w:rPr>
          <w:rStyle w:val="normaltextrun"/>
          <w:rFonts w:ascii="Arial" w:hAnsi="Arial" w:cs="Arial"/>
          <w:sz w:val="22"/>
          <w:szCs w:val="22"/>
          <w:lang w:val="pt-PT"/>
        </w:rPr>
      </w:pPr>
      <w:r w:rsidRPr="007F3836">
        <w:rPr>
          <w:rFonts w:ascii="Arial" w:hAnsi="Arial" w:cs="Arial"/>
          <w:sz w:val="22"/>
          <w:szCs w:val="22"/>
        </w:rPr>
        <w:t xml:space="preserve">A </w:t>
      </w:r>
      <w:r w:rsidRPr="007F3836">
        <w:rPr>
          <w:rStyle w:val="normaltextrun"/>
          <w:rFonts w:ascii="Arial" w:hAnsi="Arial" w:cs="Arial"/>
          <w:sz w:val="22"/>
          <w:szCs w:val="22"/>
          <w:lang w:val="pt-PT"/>
        </w:rPr>
        <w:t>tensão de cisalhamento deve ser calculada conforme descrito a seguir:</w:t>
      </w:r>
    </w:p>
    <w:p w14:paraId="32F5817E" w14:textId="77777777" w:rsidR="00780F87" w:rsidRPr="007F3836" w:rsidRDefault="00780F87" w:rsidP="006A793D">
      <w:pPr>
        <w:pStyle w:val="paragraph"/>
        <w:spacing w:before="0" w:beforeAutospacing="0" w:after="0" w:afterAutospacing="0"/>
        <w:jc w:val="both"/>
        <w:textAlignment w:val="baseline"/>
        <w:rPr>
          <w:rFonts w:ascii="Arial" w:hAnsi="Arial" w:cs="Arial"/>
          <w:sz w:val="22"/>
          <w:szCs w:val="22"/>
        </w:rPr>
      </w:pPr>
    </w:p>
    <w:p w14:paraId="7899B840" w14:textId="377015CC" w:rsidR="006A793D" w:rsidRPr="007F3836" w:rsidRDefault="00000000" w:rsidP="00D815C7">
      <w:pPr>
        <w:pStyle w:val="paragraph"/>
        <w:spacing w:before="0" w:beforeAutospacing="0" w:after="0" w:afterAutospacing="0"/>
        <w:jc w:val="both"/>
        <w:textAlignment w:val="baseline"/>
        <w:rPr>
          <w:rStyle w:val="eop"/>
          <w:rFonts w:ascii="Arial" w:hAnsi="Arial" w:cs="Arial"/>
          <w:sz w:val="22"/>
          <w:szCs w:val="22"/>
        </w:rPr>
      </w:pPr>
      <w:r>
        <w:rPr>
          <w:rFonts w:ascii="Arial" w:hAnsi="Arial" w:cs="Arial"/>
          <w:noProof/>
          <w:sz w:val="22"/>
          <w:szCs w:val="22"/>
        </w:rPr>
        <w:pict w14:anchorId="4BAA6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 o:spid="_x0000_i1025" type="#_x0000_t75" alt="" style="width:7.45pt;height:7.45pt;visibility:visible;mso-wrap-style:square;mso-width-percent:0;mso-height-percent:0;mso-width-percent:0;mso-height-percent:0">
            <v:imagedata r:id="rId10" o:title=""/>
          </v:shape>
        </w:pict>
      </w:r>
      <m:oMath>
        <m:sSub>
          <m:sSubPr>
            <m:ctrlPr>
              <w:rPr>
                <w:rFonts w:ascii="Cambria Math" w:hAnsi="Cambria Math"/>
                <w:i/>
                <w:noProof/>
              </w:rPr>
            </m:ctrlPr>
          </m:sSubPr>
          <m:e>
            <m:r>
              <w:rPr>
                <w:rFonts w:ascii="Cambria Math"/>
                <w:noProof/>
              </w:rPr>
              <m:t>τ</m:t>
            </m:r>
          </m:e>
          <m:sub>
            <m:r>
              <w:rPr>
                <w:rFonts w:ascii="Cambria Math"/>
                <w:noProof/>
              </w:rPr>
              <m:t>vd</m:t>
            </m:r>
          </m:sub>
        </m:sSub>
        <m:r>
          <w:rPr>
            <w:rFonts w:ascii="Cambria Math"/>
            <w:noProof/>
          </w:rPr>
          <m:t>=</m:t>
        </m:r>
        <m:f>
          <m:fPr>
            <m:ctrlPr>
              <w:rPr>
                <w:rFonts w:ascii="Cambria Math" w:hAnsi="Cambria Math"/>
                <w:i/>
                <w:noProof/>
              </w:rPr>
            </m:ctrlPr>
          </m:fPr>
          <m:num>
            <m:sSub>
              <m:sSubPr>
                <m:ctrlPr>
                  <w:rPr>
                    <w:rFonts w:ascii="Cambria Math" w:hAnsi="Cambria Math"/>
                    <w:i/>
                    <w:noProof/>
                  </w:rPr>
                </m:ctrlPr>
              </m:sSubPr>
              <m:e>
                <m:r>
                  <w:rPr>
                    <w:rFonts w:ascii="Cambria Math"/>
                    <w:noProof/>
                  </w:rPr>
                  <m:t>V</m:t>
                </m:r>
              </m:e>
              <m:sub>
                <m:r>
                  <w:rPr>
                    <w:rFonts w:ascii="Cambria Math"/>
                    <w:noProof/>
                  </w:rPr>
                  <m:t>d</m:t>
                </m:r>
              </m:sub>
            </m:sSub>
          </m:num>
          <m:den>
            <m:r>
              <w:rPr>
                <w:rFonts w:ascii="Cambria Math"/>
                <w:noProof/>
              </w:rPr>
              <m:t>b</m:t>
            </m:r>
            <m:r>
              <w:rPr>
                <w:rFonts w:ascii="Cambria Math"/>
                <w:noProof/>
              </w:rPr>
              <m:t>h</m:t>
            </m:r>
          </m:den>
        </m:f>
      </m:oMath>
      <w:r w:rsidR="006A793D" w:rsidRPr="007F3836">
        <w:rPr>
          <w:rStyle w:val="normaltextrun"/>
          <w:rFonts w:ascii="Arial" w:hAnsi="Arial" w:cs="Arial"/>
          <w:sz w:val="22"/>
          <w:szCs w:val="22"/>
          <w:lang w:val="pt-PT"/>
        </w:rPr>
        <w:t>, para peças de alvenaria não armada;</w:t>
      </w:r>
    </w:p>
    <w:p w14:paraId="4132934E" w14:textId="5C8DAF02" w:rsidR="006A793D" w:rsidRPr="007F3836" w:rsidRDefault="006A793D" w:rsidP="006A793D">
      <w:pPr>
        <w:pStyle w:val="paragraph"/>
        <w:spacing w:before="0" w:beforeAutospacing="0" w:after="0" w:afterAutospacing="0"/>
        <w:jc w:val="both"/>
        <w:textAlignment w:val="baseline"/>
        <w:rPr>
          <w:rFonts w:ascii="Arial" w:hAnsi="Arial" w:cs="Arial"/>
          <w:sz w:val="22"/>
          <w:szCs w:val="22"/>
        </w:rPr>
      </w:pPr>
    </w:p>
    <w:p w14:paraId="54840D24" w14:textId="02A3D949" w:rsidR="00580767" w:rsidRDefault="006A793D" w:rsidP="00780F87">
      <w:pPr>
        <w:spacing w:after="0"/>
        <w:rPr>
          <w:rStyle w:val="normaltextrun"/>
          <w:lang w:val="pt-PT"/>
        </w:rPr>
      </w:pPr>
      <w:r w:rsidRPr="00F17C6E">
        <w:rPr>
          <w:rStyle w:val="normaltextrun"/>
          <w:lang w:val="pt-PT"/>
        </w:rPr>
        <w:t>Em seções com flanges, deve-se tomar apenas a área da alma da seção para o cálculo da tensão de cisalhamento.</w:t>
      </w:r>
    </w:p>
    <w:p w14:paraId="291FA23E" w14:textId="77777777" w:rsidR="00780F87" w:rsidRPr="007F3836" w:rsidRDefault="00780F87" w:rsidP="00780F87">
      <w:pPr>
        <w:spacing w:after="0"/>
      </w:pPr>
    </w:p>
    <w:p w14:paraId="405C5EBA" w14:textId="77777777" w:rsidR="006A793D" w:rsidRPr="00780F87" w:rsidRDefault="006A793D" w:rsidP="00780F87">
      <w:pPr>
        <w:pStyle w:val="Ttulo3"/>
        <w:ind w:left="851" w:hanging="851"/>
        <w:rPr>
          <w:i w:val="0"/>
          <w:iCs/>
        </w:rPr>
      </w:pPr>
      <w:r w:rsidRPr="00780F87">
        <w:t>Verificação da resistência </w:t>
      </w:r>
    </w:p>
    <w:p w14:paraId="4C95625F" w14:textId="4D689F41" w:rsidR="00716335" w:rsidRDefault="006A793D" w:rsidP="006A793D">
      <w:pPr>
        <w:rPr>
          <w:rStyle w:val="normaltextrun"/>
          <w:rFonts w:eastAsiaTheme="minorEastAsia"/>
          <w:lang w:val="pt-PT"/>
        </w:rPr>
      </w:pPr>
      <w:r w:rsidRPr="007F3836">
        <w:rPr>
          <w:rStyle w:val="normaltextrun"/>
          <w:lang w:val="pt-PT"/>
        </w:rPr>
        <w:t>A tensão de cisalhamento de cálculo,</w:t>
      </w:r>
      <w:r w:rsidR="007407CF">
        <w:rPr>
          <w:rStyle w:val="normaltextrun"/>
          <w:rFonts w:eastAsiaTheme="minorEastAsia"/>
          <w:lang w:val="pt-PT"/>
        </w:rPr>
        <w:t xml:space="preserve"> </w:t>
      </w:r>
      <m:oMath>
        <m:sSub>
          <m:sSubPr>
            <m:ctrlPr>
              <w:rPr>
                <w:rStyle w:val="normaltextrun"/>
                <w:rFonts w:ascii="Cambria Math" w:hAnsi="Cambria Math"/>
                <w:i/>
                <w:lang w:val="pt-PT"/>
              </w:rPr>
            </m:ctrlPr>
          </m:sSubPr>
          <m:e>
            <m:r>
              <w:rPr>
                <w:rStyle w:val="normaltextrun"/>
                <w:rFonts w:ascii="Cambria Math" w:hAnsi="Cambria Math"/>
                <w:lang w:val="pt-PT"/>
              </w:rPr>
              <m:t>τ</m:t>
            </m:r>
          </m:e>
          <m:sub>
            <m:r>
              <w:rPr>
                <w:rStyle w:val="normaltextrun"/>
                <w:rFonts w:ascii="Cambria Math" w:hAnsi="Cambria Math"/>
                <w:lang w:val="pt-PT"/>
              </w:rPr>
              <m:t>vd</m:t>
            </m:r>
          </m:sub>
        </m:sSub>
      </m:oMath>
      <w:r w:rsidRPr="007F3836">
        <w:rPr>
          <w:rStyle w:val="normaltextrun"/>
          <w:i/>
          <w:iCs/>
          <w:lang w:val="pt-PT"/>
        </w:rPr>
        <w:t xml:space="preserve">, </w:t>
      </w:r>
      <w:r w:rsidR="00E775DB" w:rsidRPr="007F3836">
        <w:rPr>
          <w:rStyle w:val="normaltextrun"/>
          <w:lang w:val="pt-PT"/>
        </w:rPr>
        <w:t>não pode</w:t>
      </w:r>
      <w:r w:rsidRPr="007F3836">
        <w:rPr>
          <w:rStyle w:val="normaltextrun"/>
          <w:lang w:val="pt-PT"/>
        </w:rPr>
        <w:t xml:space="preserve"> superar a resistência de cálculo obtida a partir dos valores característicos da resistência ao cisalhamento, </w:t>
      </w:r>
      <w:r w:rsidRPr="007F3836">
        <w:rPr>
          <w:rStyle w:val="normaltextrun"/>
          <w:i/>
          <w:iCs/>
          <w:lang w:val="pt-PT"/>
        </w:rPr>
        <w:t>f</w:t>
      </w:r>
      <w:r w:rsidRPr="007407CF">
        <w:rPr>
          <w:rStyle w:val="normaltextrun"/>
          <w:i/>
          <w:iCs/>
          <w:vertAlign w:val="subscript"/>
          <w:lang w:val="pt-PT"/>
        </w:rPr>
        <w:t>vk</w:t>
      </w:r>
      <w:r w:rsidRPr="007F3836">
        <w:rPr>
          <w:rStyle w:val="normaltextrun"/>
          <w:i/>
          <w:iCs/>
          <w:lang w:val="pt-PT"/>
        </w:rPr>
        <w:t xml:space="preserve">, </w:t>
      </w:r>
      <w:r w:rsidRPr="00243585">
        <w:rPr>
          <w:rStyle w:val="normaltextrun"/>
          <w:lang w:val="pt-PT"/>
        </w:rPr>
        <w:t xml:space="preserve">especificados em </w:t>
      </w:r>
      <w:r w:rsidR="00824C7B" w:rsidRPr="00243585">
        <w:rPr>
          <w:rStyle w:val="normaltextrun"/>
          <w:lang w:val="pt-PT"/>
        </w:rPr>
        <w:fldChar w:fldCharType="begin"/>
      </w:r>
      <w:r w:rsidR="00824C7B" w:rsidRPr="00243585">
        <w:rPr>
          <w:rStyle w:val="normaltextrun"/>
          <w:lang w:val="pt-PT"/>
        </w:rPr>
        <w:instrText xml:space="preserve"> REF _Ref186313944 \w \h </w:instrText>
      </w:r>
      <w:r w:rsidR="007B2350" w:rsidRPr="00243585">
        <w:rPr>
          <w:rStyle w:val="normaltextrun"/>
          <w:lang w:val="pt-PT"/>
        </w:rPr>
        <w:instrText xml:space="preserve"> \* MERGEFORMAT </w:instrText>
      </w:r>
      <w:r w:rsidR="00824C7B" w:rsidRPr="00243585">
        <w:rPr>
          <w:rStyle w:val="normaltextrun"/>
          <w:lang w:val="pt-PT"/>
        </w:rPr>
      </w:r>
      <w:r w:rsidR="00824C7B" w:rsidRPr="00243585">
        <w:rPr>
          <w:rStyle w:val="normaltextrun"/>
          <w:lang w:val="pt-PT"/>
        </w:rPr>
        <w:fldChar w:fldCharType="separate"/>
      </w:r>
      <w:r w:rsidR="0024680C" w:rsidRPr="00243585">
        <w:rPr>
          <w:rStyle w:val="normaltextrun"/>
          <w:lang w:val="pt-PT"/>
        </w:rPr>
        <w:t>6.2.2.4</w:t>
      </w:r>
      <w:r w:rsidR="00824C7B" w:rsidRPr="00243585">
        <w:rPr>
          <w:rStyle w:val="normaltextrun"/>
          <w:lang w:val="pt-PT"/>
        </w:rPr>
        <w:fldChar w:fldCharType="end"/>
      </w:r>
      <w:r w:rsidRPr="00243585">
        <w:rPr>
          <w:rStyle w:val="normaltextrun"/>
          <w:lang w:val="pt-PT"/>
        </w:rPr>
        <w:t xml:space="preserve">, ou seja, </w:t>
      </w:r>
      <m:oMath>
        <m:sSub>
          <m:sSubPr>
            <m:ctrlPr>
              <w:rPr>
                <w:rStyle w:val="normaltextrun"/>
                <w:rFonts w:ascii="Cambria Math" w:hAnsi="Cambria Math"/>
                <w:i/>
                <w:lang w:val="pt-PT"/>
              </w:rPr>
            </m:ctrlPr>
          </m:sSubPr>
          <m:e>
            <m:r>
              <w:rPr>
                <w:rStyle w:val="normaltextrun"/>
                <w:rFonts w:ascii="Cambria Math" w:hAnsi="Cambria Math"/>
                <w:lang w:val="pt-PT"/>
              </w:rPr>
              <m:t>τ</m:t>
            </m:r>
          </m:e>
          <m:sub>
            <m:r>
              <w:rPr>
                <w:rStyle w:val="normaltextrun"/>
                <w:rFonts w:ascii="Cambria Math" w:hAnsi="Cambria Math"/>
                <w:lang w:val="pt-PT"/>
              </w:rPr>
              <m:t>vd</m:t>
            </m:r>
          </m:sub>
        </m:sSub>
        <m:r>
          <w:rPr>
            <w:rStyle w:val="normaltextrun"/>
            <w:rFonts w:ascii="Cambria Math" w:hAnsi="Cambria Math"/>
            <w:lang w:val="pt-PT"/>
          </w:rPr>
          <m:t xml:space="preserve"> ≤</m:t>
        </m:r>
        <m:sSub>
          <m:sSubPr>
            <m:ctrlPr>
              <w:rPr>
                <w:rStyle w:val="normaltextrun"/>
                <w:rFonts w:ascii="Cambria Math" w:hAnsi="Cambria Math"/>
                <w:i/>
                <w:lang w:val="pt-PT"/>
              </w:rPr>
            </m:ctrlPr>
          </m:sSubPr>
          <m:e>
            <m:r>
              <w:rPr>
                <w:rStyle w:val="normaltextrun"/>
                <w:rFonts w:ascii="Cambria Math" w:hAnsi="Cambria Math"/>
                <w:lang w:val="pt-PT"/>
              </w:rPr>
              <m:t>f</m:t>
            </m:r>
          </m:e>
          <m:sub>
            <m:r>
              <w:rPr>
                <w:rStyle w:val="normaltextrun"/>
                <w:rFonts w:ascii="Cambria Math" w:hAnsi="Cambria Math"/>
                <w:lang w:val="pt-PT"/>
              </w:rPr>
              <m:t>vk</m:t>
            </m:r>
          </m:sub>
        </m:sSub>
        <m:r>
          <w:rPr>
            <w:rStyle w:val="normaltextrun"/>
            <w:rFonts w:ascii="Cambria Math" w:hAnsi="Cambria Math"/>
            <w:lang w:val="pt-PT"/>
          </w:rPr>
          <m:t>/</m:t>
        </m:r>
        <m:sSub>
          <m:sSubPr>
            <m:ctrlPr>
              <w:rPr>
                <w:rStyle w:val="normaltextrun"/>
                <w:rFonts w:ascii="Cambria Math" w:hAnsi="Cambria Math"/>
                <w:i/>
                <w:lang w:val="pt-PT"/>
              </w:rPr>
            </m:ctrlPr>
          </m:sSubPr>
          <m:e>
            <m:r>
              <w:rPr>
                <w:rStyle w:val="normaltextrun"/>
                <w:rFonts w:ascii="Cambria Math" w:hAnsi="Cambria Math"/>
                <w:lang w:val="pt-PT"/>
              </w:rPr>
              <m:t>γ</m:t>
            </m:r>
          </m:e>
          <m:sub>
            <m:r>
              <w:rPr>
                <w:rStyle w:val="normaltextrun"/>
                <w:rFonts w:ascii="Cambria Math" w:hAnsi="Cambria Math"/>
                <w:lang w:val="pt-PT"/>
              </w:rPr>
              <m:t>m</m:t>
            </m:r>
          </m:sub>
        </m:sSub>
      </m:oMath>
      <w:r w:rsidRPr="00243585">
        <w:rPr>
          <w:rStyle w:val="normaltextrun"/>
          <w:rFonts w:eastAsiaTheme="minorEastAsia"/>
          <w:lang w:val="pt-PT"/>
        </w:rPr>
        <w:t>.</w:t>
      </w:r>
    </w:p>
    <w:p w14:paraId="14CA8B59" w14:textId="77777777" w:rsidR="00716335" w:rsidRDefault="00716335">
      <w:pPr>
        <w:spacing w:line="240" w:lineRule="auto"/>
        <w:jc w:val="left"/>
        <w:rPr>
          <w:rStyle w:val="normaltextrun"/>
          <w:rFonts w:eastAsiaTheme="minorEastAsia"/>
          <w:lang w:val="pt-PT"/>
        </w:rPr>
      </w:pPr>
      <w:r>
        <w:rPr>
          <w:rStyle w:val="normaltextrun"/>
          <w:rFonts w:eastAsiaTheme="minorEastAsia"/>
          <w:lang w:val="pt-PT"/>
        </w:rPr>
        <w:br w:type="page"/>
      </w:r>
    </w:p>
    <w:p w14:paraId="67998603" w14:textId="2C72DFE6" w:rsidR="00814A1F" w:rsidRPr="0060707B" w:rsidRDefault="0060707B" w:rsidP="0060707B">
      <w:pPr>
        <w:pStyle w:val="Ttulo1"/>
        <w:numPr>
          <w:ilvl w:val="0"/>
          <w:numId w:val="0"/>
        </w:numPr>
        <w:ind w:left="360" w:hanging="360"/>
        <w:jc w:val="center"/>
        <w:rPr>
          <w:sz w:val="26"/>
          <w:szCs w:val="26"/>
        </w:rPr>
      </w:pPr>
      <w:r w:rsidRPr="0060707B">
        <w:rPr>
          <w:sz w:val="26"/>
          <w:szCs w:val="26"/>
        </w:rPr>
        <w:lastRenderedPageBreak/>
        <w:t>Bibliografia</w:t>
      </w:r>
    </w:p>
    <w:p w14:paraId="162F437D" w14:textId="77777777" w:rsidR="0060707B" w:rsidRPr="007F3836" w:rsidRDefault="0060707B" w:rsidP="006A793D">
      <w:pPr>
        <w:rPr>
          <w:rStyle w:val="normaltextrun"/>
          <w:rFonts w:eastAsiaTheme="minorEastAsia"/>
          <w:lang w:val="pt-PT"/>
        </w:rPr>
      </w:pPr>
    </w:p>
    <w:p w14:paraId="56CE9675" w14:textId="2B8D7321" w:rsidR="00B3571D" w:rsidRPr="004D3DBE" w:rsidRDefault="0060707B" w:rsidP="004D3DBE">
      <w:pPr>
        <w:jc w:val="left"/>
        <w:rPr>
          <w:i/>
          <w:iCs/>
        </w:rPr>
      </w:pPr>
      <w:r w:rsidRPr="0060707B">
        <w:t>ABNT NBR 15873,</w:t>
      </w:r>
      <w:r w:rsidRPr="0060707B">
        <w:rPr>
          <w:i/>
          <w:iCs/>
        </w:rPr>
        <w:t xml:space="preserve"> Coordenação modular para edificações</w:t>
      </w:r>
    </w:p>
    <w:sectPr w:rsidR="00B3571D" w:rsidRPr="004D3DBE" w:rsidSect="00CD61E6">
      <w:headerReference w:type="default" r:id="rId11"/>
      <w:pgSz w:w="11906" w:h="16838"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7CFB2" w14:textId="77777777" w:rsidR="00245ECD" w:rsidRDefault="00245ECD" w:rsidP="00140AE7">
      <w:r>
        <w:separator/>
      </w:r>
    </w:p>
  </w:endnote>
  <w:endnote w:type="continuationSeparator" w:id="0">
    <w:p w14:paraId="5146830A" w14:textId="77777777" w:rsidR="00245ECD" w:rsidRDefault="00245ECD" w:rsidP="00140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iro">
    <w:altName w:val="Arial"/>
    <w:charset w:val="00"/>
    <w:family w:val="auto"/>
    <w:pitch w:val="variable"/>
    <w:sig w:usb0="A00020AF" w:usb1="9000204B" w:usb2="00000008" w:usb3="00000000" w:csb0="000000D3"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enturyGothic">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74DC6" w14:textId="77777777" w:rsidR="00245ECD" w:rsidRDefault="00245ECD" w:rsidP="00140AE7">
      <w:r>
        <w:separator/>
      </w:r>
    </w:p>
  </w:footnote>
  <w:footnote w:type="continuationSeparator" w:id="0">
    <w:p w14:paraId="3E21D199" w14:textId="77777777" w:rsidR="00245ECD" w:rsidRDefault="00245ECD" w:rsidP="00140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1" w:type="dxa"/>
      <w:jc w:val="center"/>
      <w:tblLook w:val="01E0" w:firstRow="1" w:lastRow="1" w:firstColumn="1" w:lastColumn="1" w:noHBand="0" w:noVBand="0"/>
    </w:tblPr>
    <w:tblGrid>
      <w:gridCol w:w="1116"/>
      <w:gridCol w:w="9145"/>
    </w:tblGrid>
    <w:tr w:rsidR="004D2DEF" w:rsidRPr="005B0EC5" w14:paraId="469981B9" w14:textId="77777777" w:rsidTr="00972CA0">
      <w:trPr>
        <w:trHeight w:val="960"/>
        <w:jc w:val="center"/>
      </w:trPr>
      <w:tc>
        <w:tcPr>
          <w:tcW w:w="1116" w:type="dxa"/>
          <w:vAlign w:val="center"/>
        </w:tcPr>
        <w:p w14:paraId="74258266" w14:textId="77777777" w:rsidR="004D2DEF" w:rsidRPr="005B0EC5" w:rsidRDefault="004D2DEF" w:rsidP="004D2DEF">
          <w:pPr>
            <w:tabs>
              <w:tab w:val="center" w:pos="4419"/>
              <w:tab w:val="right" w:pos="8838"/>
            </w:tabs>
            <w:jc w:val="center"/>
            <w:rPr>
              <w:rFonts w:eastAsia="Times New Roman"/>
              <w:b/>
              <w:caps/>
              <w:lang w:eastAsia="pt-BR"/>
            </w:rPr>
          </w:pPr>
          <w:r w:rsidRPr="00F6555B">
            <w:rPr>
              <w:rFonts w:eastAsia="Times New Roman"/>
              <w:b/>
              <w:caps/>
              <w:noProof/>
              <w:lang w:val="en-US"/>
            </w:rPr>
            <w:drawing>
              <wp:inline distT="0" distB="0" distL="0" distR="0" wp14:anchorId="0A128268" wp14:editId="03218E5A">
                <wp:extent cx="564515" cy="591820"/>
                <wp:effectExtent l="0" t="0" r="6985" b="0"/>
                <wp:docPr id="1501352992" name="Imagem 61" descr="logo_bola_reduzido_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7" descr="logo_bola_reduzido_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515" cy="591820"/>
                        </a:xfrm>
                        <a:prstGeom prst="rect">
                          <a:avLst/>
                        </a:prstGeom>
                        <a:noFill/>
                        <a:ln>
                          <a:noFill/>
                        </a:ln>
                      </pic:spPr>
                    </pic:pic>
                  </a:graphicData>
                </a:graphic>
              </wp:inline>
            </w:drawing>
          </w:r>
        </w:p>
      </w:tc>
      <w:tc>
        <w:tcPr>
          <w:tcW w:w="9145" w:type="dxa"/>
          <w:tcBorders>
            <w:top w:val="single" w:sz="12" w:space="0" w:color="auto"/>
            <w:bottom w:val="single" w:sz="12" w:space="0" w:color="auto"/>
          </w:tcBorders>
          <w:vAlign w:val="center"/>
        </w:tcPr>
        <w:p w14:paraId="5E0881C2" w14:textId="77777777" w:rsidR="004D2DEF" w:rsidRPr="00972CA0" w:rsidRDefault="004D2DEF" w:rsidP="004D2DEF">
          <w:pPr>
            <w:tabs>
              <w:tab w:val="center" w:pos="4419"/>
              <w:tab w:val="right" w:pos="8838"/>
            </w:tabs>
            <w:spacing w:after="60"/>
            <w:jc w:val="center"/>
            <w:rPr>
              <w:rFonts w:eastAsia="Times New Roman"/>
              <w:b/>
              <w:caps/>
              <w:lang w:eastAsia="en-CA"/>
            </w:rPr>
          </w:pPr>
          <w:r w:rsidRPr="00972CA0">
            <w:rPr>
              <w:rFonts w:eastAsia="Times New Roman"/>
              <w:b/>
              <w:caps/>
              <w:lang w:eastAsia="en-CA"/>
            </w:rPr>
            <w:t>ABNT/Cb-002</w:t>
          </w:r>
        </w:p>
        <w:p w14:paraId="0766CF50" w14:textId="277E5BCB" w:rsidR="004D2DEF" w:rsidRPr="008306AC" w:rsidRDefault="00185AF4" w:rsidP="004D2DEF">
          <w:pPr>
            <w:tabs>
              <w:tab w:val="center" w:pos="4419"/>
              <w:tab w:val="right" w:pos="8838"/>
            </w:tabs>
            <w:spacing w:after="60"/>
            <w:jc w:val="center"/>
            <w:rPr>
              <w:rFonts w:eastAsia="Times New Roman"/>
              <w:b/>
              <w:caps/>
              <w:lang w:eastAsia="en-CA"/>
            </w:rPr>
          </w:pPr>
          <w:r>
            <w:rPr>
              <w:rFonts w:eastAsia="Times New Roman"/>
              <w:b/>
              <w:caps/>
              <w:lang w:eastAsia="en-CA"/>
            </w:rPr>
            <w:t xml:space="preserve">TEXTO-BASE </w:t>
          </w:r>
          <w:r w:rsidRPr="00185AF4">
            <w:rPr>
              <w:rFonts w:eastAsia="Times New Roman"/>
              <w:b/>
              <w:caps/>
              <w:lang w:eastAsia="en-CA"/>
            </w:rPr>
            <w:t>002:123.010-002</w:t>
          </w:r>
        </w:p>
        <w:p w14:paraId="0E2BEFC1" w14:textId="6F4F040D" w:rsidR="004D2DEF" w:rsidRPr="00ED30F6" w:rsidRDefault="00193950" w:rsidP="004D2DEF">
          <w:pPr>
            <w:tabs>
              <w:tab w:val="center" w:pos="4419"/>
              <w:tab w:val="right" w:pos="8838"/>
            </w:tabs>
            <w:jc w:val="center"/>
            <w:rPr>
              <w:rFonts w:eastAsia="Times New Roman"/>
              <w:b/>
              <w:caps/>
              <w:lang w:eastAsia="pt-BR"/>
            </w:rPr>
          </w:pPr>
          <w:r>
            <w:rPr>
              <w:rFonts w:eastAsia="Times New Roman"/>
              <w:b/>
              <w:caps/>
              <w:lang w:eastAsia="pt-BR"/>
            </w:rPr>
            <w:t>jun</w:t>
          </w:r>
          <w:r w:rsidR="004D2DEF" w:rsidRPr="00ED30F6">
            <w:rPr>
              <w:rFonts w:eastAsia="Times New Roman"/>
              <w:b/>
              <w:caps/>
              <w:lang w:eastAsia="pt-BR"/>
            </w:rPr>
            <w:t xml:space="preserve"> 202</w:t>
          </w:r>
          <w:r w:rsidR="004D2DEF">
            <w:rPr>
              <w:rFonts w:eastAsia="Times New Roman"/>
              <w:b/>
              <w:caps/>
              <w:lang w:eastAsia="pt-BR"/>
            </w:rPr>
            <w:t>5</w:t>
          </w:r>
        </w:p>
      </w:tc>
    </w:tr>
  </w:tbl>
  <w:p w14:paraId="1C95FEC6" w14:textId="3F19307E" w:rsidR="006F4775" w:rsidRDefault="00000000" w:rsidP="00140AE7">
    <w:pPr>
      <w:pStyle w:val="Cabealho"/>
    </w:pPr>
    <w:sdt>
      <w:sdtPr>
        <w:id w:val="2028980986"/>
        <w:docPartObj>
          <w:docPartGallery w:val="Page Numbers (Margins)"/>
          <w:docPartUnique/>
        </w:docPartObj>
      </w:sdt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07FE"/>
    <w:multiLevelType w:val="hybridMultilevel"/>
    <w:tmpl w:val="5C4E8B6E"/>
    <w:lvl w:ilvl="0" w:tplc="E0EA0FDA">
      <w:start w:val="1"/>
      <w:numFmt w:val="bullet"/>
      <w:lvlText w:val=""/>
      <w:lvlJc w:val="left"/>
      <w:pPr>
        <w:ind w:left="720" w:hanging="360"/>
      </w:pPr>
      <w:rPr>
        <w:rFonts w:ascii="Symbol" w:hAnsi="Symbol" w:hint="default"/>
        <w:color w:val="2E2E38"/>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A0E4E5A"/>
    <w:multiLevelType w:val="hybridMultilevel"/>
    <w:tmpl w:val="EBF22C28"/>
    <w:lvl w:ilvl="0" w:tplc="2974B42E">
      <w:start w:val="21"/>
      <w:numFmt w:val="bullet"/>
      <w:lvlText w:val="-"/>
      <w:lvlJc w:val="left"/>
      <w:pPr>
        <w:ind w:left="720" w:hanging="360"/>
      </w:pPr>
      <w:rPr>
        <w:rFonts w:ascii="Arial" w:eastAsiaTheme="minorHAns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3B179F4"/>
    <w:multiLevelType w:val="hybridMultilevel"/>
    <w:tmpl w:val="BDC24E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773D59"/>
    <w:multiLevelType w:val="hybridMultilevel"/>
    <w:tmpl w:val="821843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20920A3"/>
    <w:multiLevelType w:val="singleLevel"/>
    <w:tmpl w:val="2DF6AD1C"/>
    <w:lvl w:ilvl="0">
      <w:start w:val="1"/>
      <w:numFmt w:val="decimal"/>
      <w:pStyle w:val="Tpicosdaapresentao"/>
      <w:lvlText w:val="%1)"/>
      <w:lvlJc w:val="left"/>
      <w:pPr>
        <w:tabs>
          <w:tab w:val="num" w:pos="360"/>
        </w:tabs>
        <w:ind w:left="0" w:firstLine="0"/>
      </w:pPr>
      <w:rPr>
        <w:b/>
        <w:i w:val="0"/>
      </w:rPr>
    </w:lvl>
  </w:abstractNum>
  <w:abstractNum w:abstractNumId="5" w15:restartNumberingAfterBreak="0">
    <w:nsid w:val="48B80C99"/>
    <w:multiLevelType w:val="multilevel"/>
    <w:tmpl w:val="A6082CBE"/>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645" w:hanging="504"/>
      </w:pPr>
    </w:lvl>
    <w:lvl w:ilvl="3">
      <w:start w:val="1"/>
      <w:numFmt w:val="decimal"/>
      <w:pStyle w:val="Ttulo4"/>
      <w:lvlText w:val="%1.%2.%3.%4."/>
      <w:lvlJc w:val="left"/>
      <w:pPr>
        <w:ind w:left="1728" w:hanging="648"/>
      </w:pPr>
    </w:lvl>
    <w:lvl w:ilvl="4">
      <w:start w:val="1"/>
      <w:numFmt w:val="decimal"/>
      <w:pStyle w:val="Ttulo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200DC1"/>
    <w:multiLevelType w:val="hybridMultilevel"/>
    <w:tmpl w:val="A8AA33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F542B93"/>
    <w:multiLevelType w:val="hybridMultilevel"/>
    <w:tmpl w:val="A21A5E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ACF1C50"/>
    <w:multiLevelType w:val="hybridMultilevel"/>
    <w:tmpl w:val="A2FE59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B3871EA"/>
    <w:multiLevelType w:val="hybridMultilevel"/>
    <w:tmpl w:val="BDC24E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73626278">
    <w:abstractNumId w:val="5"/>
  </w:num>
  <w:num w:numId="2" w16cid:durableId="1533765810">
    <w:abstractNumId w:val="3"/>
  </w:num>
  <w:num w:numId="3" w16cid:durableId="2145153701">
    <w:abstractNumId w:val="0"/>
  </w:num>
  <w:num w:numId="4" w16cid:durableId="1686663087">
    <w:abstractNumId w:val="6"/>
  </w:num>
  <w:num w:numId="5" w16cid:durableId="421728212">
    <w:abstractNumId w:val="7"/>
  </w:num>
  <w:num w:numId="6" w16cid:durableId="406418672">
    <w:abstractNumId w:val="8"/>
  </w:num>
  <w:num w:numId="7" w16cid:durableId="1665477050">
    <w:abstractNumId w:val="4"/>
  </w:num>
  <w:num w:numId="8" w16cid:durableId="1853183218">
    <w:abstractNumId w:val="1"/>
  </w:num>
  <w:num w:numId="9" w16cid:durableId="2112896867">
    <w:abstractNumId w:val="9"/>
  </w:num>
  <w:num w:numId="10" w16cid:durableId="176580469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FAA"/>
    <w:rsid w:val="000004DA"/>
    <w:rsid w:val="00001433"/>
    <w:rsid w:val="000023D7"/>
    <w:rsid w:val="00002F19"/>
    <w:rsid w:val="000034F9"/>
    <w:rsid w:val="0000408E"/>
    <w:rsid w:val="00006781"/>
    <w:rsid w:val="00006908"/>
    <w:rsid w:val="00011A17"/>
    <w:rsid w:val="00013241"/>
    <w:rsid w:val="00013592"/>
    <w:rsid w:val="00013731"/>
    <w:rsid w:val="00014136"/>
    <w:rsid w:val="00015DDC"/>
    <w:rsid w:val="0001692E"/>
    <w:rsid w:val="00016DD3"/>
    <w:rsid w:val="00024312"/>
    <w:rsid w:val="00024970"/>
    <w:rsid w:val="00025212"/>
    <w:rsid w:val="00026380"/>
    <w:rsid w:val="000301BF"/>
    <w:rsid w:val="0003169A"/>
    <w:rsid w:val="00031C8A"/>
    <w:rsid w:val="00031F53"/>
    <w:rsid w:val="000332F1"/>
    <w:rsid w:val="00033A4B"/>
    <w:rsid w:val="00033AAE"/>
    <w:rsid w:val="00037C42"/>
    <w:rsid w:val="00037C8E"/>
    <w:rsid w:val="00040D3D"/>
    <w:rsid w:val="00045656"/>
    <w:rsid w:val="000457F6"/>
    <w:rsid w:val="000461CD"/>
    <w:rsid w:val="00047049"/>
    <w:rsid w:val="00047175"/>
    <w:rsid w:val="00047CE3"/>
    <w:rsid w:val="00047DE2"/>
    <w:rsid w:val="00052106"/>
    <w:rsid w:val="00052AF9"/>
    <w:rsid w:val="00052EAE"/>
    <w:rsid w:val="00053490"/>
    <w:rsid w:val="000537DC"/>
    <w:rsid w:val="00053AF2"/>
    <w:rsid w:val="00054251"/>
    <w:rsid w:val="00054925"/>
    <w:rsid w:val="00054CFE"/>
    <w:rsid w:val="00054DF6"/>
    <w:rsid w:val="00054F65"/>
    <w:rsid w:val="000558C7"/>
    <w:rsid w:val="0005623A"/>
    <w:rsid w:val="00056322"/>
    <w:rsid w:val="0005639B"/>
    <w:rsid w:val="0005657F"/>
    <w:rsid w:val="00057422"/>
    <w:rsid w:val="000577E6"/>
    <w:rsid w:val="00057820"/>
    <w:rsid w:val="00057EDD"/>
    <w:rsid w:val="00060C8A"/>
    <w:rsid w:val="000621FD"/>
    <w:rsid w:val="00062D67"/>
    <w:rsid w:val="00063A3B"/>
    <w:rsid w:val="0006480D"/>
    <w:rsid w:val="000650D7"/>
    <w:rsid w:val="0007071D"/>
    <w:rsid w:val="00070F55"/>
    <w:rsid w:val="000710AC"/>
    <w:rsid w:val="000717D6"/>
    <w:rsid w:val="00071B70"/>
    <w:rsid w:val="00071E48"/>
    <w:rsid w:val="00072162"/>
    <w:rsid w:val="00072537"/>
    <w:rsid w:val="000732F1"/>
    <w:rsid w:val="00073903"/>
    <w:rsid w:val="000739A7"/>
    <w:rsid w:val="0007462F"/>
    <w:rsid w:val="00074695"/>
    <w:rsid w:val="00076F8E"/>
    <w:rsid w:val="00077445"/>
    <w:rsid w:val="00077F3B"/>
    <w:rsid w:val="00080F2A"/>
    <w:rsid w:val="00084893"/>
    <w:rsid w:val="00085379"/>
    <w:rsid w:val="0008581B"/>
    <w:rsid w:val="00086368"/>
    <w:rsid w:val="000907BC"/>
    <w:rsid w:val="0009095B"/>
    <w:rsid w:val="00090FB2"/>
    <w:rsid w:val="00091E69"/>
    <w:rsid w:val="00092AE8"/>
    <w:rsid w:val="00097334"/>
    <w:rsid w:val="00097B9A"/>
    <w:rsid w:val="000A1294"/>
    <w:rsid w:val="000A12E5"/>
    <w:rsid w:val="000A155D"/>
    <w:rsid w:val="000A15EE"/>
    <w:rsid w:val="000A385A"/>
    <w:rsid w:val="000A39A2"/>
    <w:rsid w:val="000A493C"/>
    <w:rsid w:val="000A556B"/>
    <w:rsid w:val="000A5B8C"/>
    <w:rsid w:val="000A676B"/>
    <w:rsid w:val="000A6C25"/>
    <w:rsid w:val="000A7D7C"/>
    <w:rsid w:val="000B0D47"/>
    <w:rsid w:val="000B20DE"/>
    <w:rsid w:val="000B2C77"/>
    <w:rsid w:val="000B3114"/>
    <w:rsid w:val="000B3538"/>
    <w:rsid w:val="000B36B7"/>
    <w:rsid w:val="000B4585"/>
    <w:rsid w:val="000B5492"/>
    <w:rsid w:val="000B5BF1"/>
    <w:rsid w:val="000C0E6D"/>
    <w:rsid w:val="000C0EAE"/>
    <w:rsid w:val="000C18EE"/>
    <w:rsid w:val="000C1C90"/>
    <w:rsid w:val="000C48DD"/>
    <w:rsid w:val="000C6C72"/>
    <w:rsid w:val="000C7F23"/>
    <w:rsid w:val="000D25CE"/>
    <w:rsid w:val="000D3518"/>
    <w:rsid w:val="000D4ACD"/>
    <w:rsid w:val="000D4FC5"/>
    <w:rsid w:val="000D5BA3"/>
    <w:rsid w:val="000D6626"/>
    <w:rsid w:val="000E0673"/>
    <w:rsid w:val="000E1AD3"/>
    <w:rsid w:val="000E284D"/>
    <w:rsid w:val="000E3892"/>
    <w:rsid w:val="000F025E"/>
    <w:rsid w:val="000F0DA8"/>
    <w:rsid w:val="000F14D5"/>
    <w:rsid w:val="000F158C"/>
    <w:rsid w:val="000F241F"/>
    <w:rsid w:val="000F2918"/>
    <w:rsid w:val="000F37F2"/>
    <w:rsid w:val="000F384D"/>
    <w:rsid w:val="000F6935"/>
    <w:rsid w:val="000F69C5"/>
    <w:rsid w:val="000F7DBA"/>
    <w:rsid w:val="0010043E"/>
    <w:rsid w:val="0010171D"/>
    <w:rsid w:val="00102883"/>
    <w:rsid w:val="00105811"/>
    <w:rsid w:val="00106087"/>
    <w:rsid w:val="00107417"/>
    <w:rsid w:val="00107B48"/>
    <w:rsid w:val="00107F76"/>
    <w:rsid w:val="00110463"/>
    <w:rsid w:val="00111733"/>
    <w:rsid w:val="0011381A"/>
    <w:rsid w:val="00113EC1"/>
    <w:rsid w:val="001151F6"/>
    <w:rsid w:val="00116156"/>
    <w:rsid w:val="001165C4"/>
    <w:rsid w:val="001179CA"/>
    <w:rsid w:val="00117BC2"/>
    <w:rsid w:val="00117C4B"/>
    <w:rsid w:val="00126F76"/>
    <w:rsid w:val="00127005"/>
    <w:rsid w:val="00127694"/>
    <w:rsid w:val="00130110"/>
    <w:rsid w:val="001327E7"/>
    <w:rsid w:val="00134FA2"/>
    <w:rsid w:val="00140AE7"/>
    <w:rsid w:val="00140CE1"/>
    <w:rsid w:val="001423D9"/>
    <w:rsid w:val="00142439"/>
    <w:rsid w:val="0014310F"/>
    <w:rsid w:val="001432DD"/>
    <w:rsid w:val="00143A33"/>
    <w:rsid w:val="0014615E"/>
    <w:rsid w:val="001464A7"/>
    <w:rsid w:val="00147679"/>
    <w:rsid w:val="00147C91"/>
    <w:rsid w:val="00151721"/>
    <w:rsid w:val="00151B0F"/>
    <w:rsid w:val="00151B41"/>
    <w:rsid w:val="00151E18"/>
    <w:rsid w:val="0015209B"/>
    <w:rsid w:val="001531EC"/>
    <w:rsid w:val="001533E8"/>
    <w:rsid w:val="001534CA"/>
    <w:rsid w:val="00154536"/>
    <w:rsid w:val="001554F8"/>
    <w:rsid w:val="00156600"/>
    <w:rsid w:val="00157064"/>
    <w:rsid w:val="001614A0"/>
    <w:rsid w:val="00163273"/>
    <w:rsid w:val="00163B34"/>
    <w:rsid w:val="00163D0C"/>
    <w:rsid w:val="00163F27"/>
    <w:rsid w:val="001646BA"/>
    <w:rsid w:val="0016626B"/>
    <w:rsid w:val="00166330"/>
    <w:rsid w:val="00167B65"/>
    <w:rsid w:val="00170002"/>
    <w:rsid w:val="00170EEB"/>
    <w:rsid w:val="00172A50"/>
    <w:rsid w:val="00173E0B"/>
    <w:rsid w:val="00177F5A"/>
    <w:rsid w:val="001811B2"/>
    <w:rsid w:val="00181704"/>
    <w:rsid w:val="00184683"/>
    <w:rsid w:val="00185AF4"/>
    <w:rsid w:val="00191226"/>
    <w:rsid w:val="00192A6B"/>
    <w:rsid w:val="00193950"/>
    <w:rsid w:val="001945FB"/>
    <w:rsid w:val="00194D85"/>
    <w:rsid w:val="0019540A"/>
    <w:rsid w:val="00195D34"/>
    <w:rsid w:val="00196049"/>
    <w:rsid w:val="00196B19"/>
    <w:rsid w:val="001A10C0"/>
    <w:rsid w:val="001A2299"/>
    <w:rsid w:val="001A22BC"/>
    <w:rsid w:val="001A233D"/>
    <w:rsid w:val="001A2CC3"/>
    <w:rsid w:val="001A307F"/>
    <w:rsid w:val="001A7336"/>
    <w:rsid w:val="001A7739"/>
    <w:rsid w:val="001B1470"/>
    <w:rsid w:val="001B22C2"/>
    <w:rsid w:val="001B24BA"/>
    <w:rsid w:val="001B3458"/>
    <w:rsid w:val="001B612F"/>
    <w:rsid w:val="001B71E1"/>
    <w:rsid w:val="001B7D80"/>
    <w:rsid w:val="001C4195"/>
    <w:rsid w:val="001C54BF"/>
    <w:rsid w:val="001C58B3"/>
    <w:rsid w:val="001C7151"/>
    <w:rsid w:val="001C7522"/>
    <w:rsid w:val="001D00A0"/>
    <w:rsid w:val="001D0693"/>
    <w:rsid w:val="001D0D67"/>
    <w:rsid w:val="001D1AFE"/>
    <w:rsid w:val="001D4295"/>
    <w:rsid w:val="001D4935"/>
    <w:rsid w:val="001D5B20"/>
    <w:rsid w:val="001D7F91"/>
    <w:rsid w:val="001E04E7"/>
    <w:rsid w:val="001E0FE7"/>
    <w:rsid w:val="001E2047"/>
    <w:rsid w:val="001E3252"/>
    <w:rsid w:val="001E33E3"/>
    <w:rsid w:val="001E48BC"/>
    <w:rsid w:val="001E4D9A"/>
    <w:rsid w:val="001E5DBB"/>
    <w:rsid w:val="001E6A51"/>
    <w:rsid w:val="001E7E68"/>
    <w:rsid w:val="001F1646"/>
    <w:rsid w:val="001F17A4"/>
    <w:rsid w:val="001F17CF"/>
    <w:rsid w:val="001F19E1"/>
    <w:rsid w:val="001F2B37"/>
    <w:rsid w:val="001F2C39"/>
    <w:rsid w:val="001F3722"/>
    <w:rsid w:val="001F4010"/>
    <w:rsid w:val="001F6622"/>
    <w:rsid w:val="001F7CD8"/>
    <w:rsid w:val="002002C6"/>
    <w:rsid w:val="00200756"/>
    <w:rsid w:val="0020080F"/>
    <w:rsid w:val="00201713"/>
    <w:rsid w:val="00201B76"/>
    <w:rsid w:val="00201CBD"/>
    <w:rsid w:val="00201E7C"/>
    <w:rsid w:val="00202E4A"/>
    <w:rsid w:val="002049A1"/>
    <w:rsid w:val="00205AA9"/>
    <w:rsid w:val="0020631B"/>
    <w:rsid w:val="00206463"/>
    <w:rsid w:val="0021092B"/>
    <w:rsid w:val="00211CBB"/>
    <w:rsid w:val="0021346A"/>
    <w:rsid w:val="0021349E"/>
    <w:rsid w:val="00213D03"/>
    <w:rsid w:val="002153B5"/>
    <w:rsid w:val="00215C40"/>
    <w:rsid w:val="00216057"/>
    <w:rsid w:val="002167C7"/>
    <w:rsid w:val="00216F3D"/>
    <w:rsid w:val="0021774A"/>
    <w:rsid w:val="00217FF9"/>
    <w:rsid w:val="00221F46"/>
    <w:rsid w:val="002223E3"/>
    <w:rsid w:val="002225AE"/>
    <w:rsid w:val="002226A8"/>
    <w:rsid w:val="00222A11"/>
    <w:rsid w:val="002231FA"/>
    <w:rsid w:val="002232D8"/>
    <w:rsid w:val="00223613"/>
    <w:rsid w:val="00223882"/>
    <w:rsid w:val="00223B2D"/>
    <w:rsid w:val="00223E16"/>
    <w:rsid w:val="00223E5E"/>
    <w:rsid w:val="00224A03"/>
    <w:rsid w:val="00225577"/>
    <w:rsid w:val="00226C92"/>
    <w:rsid w:val="00227612"/>
    <w:rsid w:val="0022771A"/>
    <w:rsid w:val="00227A79"/>
    <w:rsid w:val="00227C18"/>
    <w:rsid w:val="00227C9F"/>
    <w:rsid w:val="002310D4"/>
    <w:rsid w:val="0023162E"/>
    <w:rsid w:val="0023183E"/>
    <w:rsid w:val="0023210C"/>
    <w:rsid w:val="00232EA4"/>
    <w:rsid w:val="0023341B"/>
    <w:rsid w:val="00233E08"/>
    <w:rsid w:val="002340C6"/>
    <w:rsid w:val="00234A3B"/>
    <w:rsid w:val="00234D8B"/>
    <w:rsid w:val="00234E76"/>
    <w:rsid w:val="00237238"/>
    <w:rsid w:val="00237843"/>
    <w:rsid w:val="00241D90"/>
    <w:rsid w:val="00242B3C"/>
    <w:rsid w:val="00242B92"/>
    <w:rsid w:val="00243585"/>
    <w:rsid w:val="00245D1E"/>
    <w:rsid w:val="00245D2F"/>
    <w:rsid w:val="00245ECD"/>
    <w:rsid w:val="0024680C"/>
    <w:rsid w:val="00247891"/>
    <w:rsid w:val="00247D06"/>
    <w:rsid w:val="00250723"/>
    <w:rsid w:val="00250850"/>
    <w:rsid w:val="00252EAF"/>
    <w:rsid w:val="002538E7"/>
    <w:rsid w:val="002546CB"/>
    <w:rsid w:val="002555C1"/>
    <w:rsid w:val="0025688F"/>
    <w:rsid w:val="00261F3C"/>
    <w:rsid w:val="00262041"/>
    <w:rsid w:val="00263FEE"/>
    <w:rsid w:val="002640F4"/>
    <w:rsid w:val="002642F2"/>
    <w:rsid w:val="002653DB"/>
    <w:rsid w:val="00265978"/>
    <w:rsid w:val="00266DA6"/>
    <w:rsid w:val="00267B8C"/>
    <w:rsid w:val="002702CC"/>
    <w:rsid w:val="00270361"/>
    <w:rsid w:val="00270AD2"/>
    <w:rsid w:val="00270F38"/>
    <w:rsid w:val="00272719"/>
    <w:rsid w:val="002728CE"/>
    <w:rsid w:val="002735B5"/>
    <w:rsid w:val="00274434"/>
    <w:rsid w:val="00274E2F"/>
    <w:rsid w:val="00276706"/>
    <w:rsid w:val="00276CAC"/>
    <w:rsid w:val="002804FA"/>
    <w:rsid w:val="00280EF4"/>
    <w:rsid w:val="00280F27"/>
    <w:rsid w:val="002826BD"/>
    <w:rsid w:val="00282FFB"/>
    <w:rsid w:val="0028419A"/>
    <w:rsid w:val="00285EF8"/>
    <w:rsid w:val="0028618D"/>
    <w:rsid w:val="00286DBC"/>
    <w:rsid w:val="00287D02"/>
    <w:rsid w:val="002908D5"/>
    <w:rsid w:val="002911A9"/>
    <w:rsid w:val="0029186B"/>
    <w:rsid w:val="00292F2B"/>
    <w:rsid w:val="0029374A"/>
    <w:rsid w:val="00295767"/>
    <w:rsid w:val="00295F3B"/>
    <w:rsid w:val="002968D2"/>
    <w:rsid w:val="00297D37"/>
    <w:rsid w:val="002A03D2"/>
    <w:rsid w:val="002A1075"/>
    <w:rsid w:val="002A37AD"/>
    <w:rsid w:val="002A4114"/>
    <w:rsid w:val="002A7823"/>
    <w:rsid w:val="002A7BAF"/>
    <w:rsid w:val="002A7E5F"/>
    <w:rsid w:val="002A7F72"/>
    <w:rsid w:val="002B119D"/>
    <w:rsid w:val="002B17E8"/>
    <w:rsid w:val="002B3D51"/>
    <w:rsid w:val="002B4787"/>
    <w:rsid w:val="002B5208"/>
    <w:rsid w:val="002B5818"/>
    <w:rsid w:val="002C121E"/>
    <w:rsid w:val="002C2781"/>
    <w:rsid w:val="002C2BF7"/>
    <w:rsid w:val="002C36CC"/>
    <w:rsid w:val="002C4F06"/>
    <w:rsid w:val="002D19C9"/>
    <w:rsid w:val="002D1C88"/>
    <w:rsid w:val="002D2BB5"/>
    <w:rsid w:val="002D45E4"/>
    <w:rsid w:val="002D553E"/>
    <w:rsid w:val="002D5BB2"/>
    <w:rsid w:val="002D65F4"/>
    <w:rsid w:val="002D7952"/>
    <w:rsid w:val="002D7CFC"/>
    <w:rsid w:val="002E0D3F"/>
    <w:rsid w:val="002E1387"/>
    <w:rsid w:val="002E1E18"/>
    <w:rsid w:val="002E38A8"/>
    <w:rsid w:val="002E4653"/>
    <w:rsid w:val="002E468A"/>
    <w:rsid w:val="002E5942"/>
    <w:rsid w:val="002E6C4A"/>
    <w:rsid w:val="002E719A"/>
    <w:rsid w:val="002F05CE"/>
    <w:rsid w:val="002F0981"/>
    <w:rsid w:val="002F166D"/>
    <w:rsid w:val="002F1D39"/>
    <w:rsid w:val="002F2CB7"/>
    <w:rsid w:val="002F300C"/>
    <w:rsid w:val="002F48B2"/>
    <w:rsid w:val="002F7223"/>
    <w:rsid w:val="0030175D"/>
    <w:rsid w:val="0030300D"/>
    <w:rsid w:val="0030341D"/>
    <w:rsid w:val="00304F9C"/>
    <w:rsid w:val="003061D1"/>
    <w:rsid w:val="00311D61"/>
    <w:rsid w:val="00312226"/>
    <w:rsid w:val="003153E5"/>
    <w:rsid w:val="00315F87"/>
    <w:rsid w:val="003165FF"/>
    <w:rsid w:val="003175A4"/>
    <w:rsid w:val="00322A2B"/>
    <w:rsid w:val="003230D8"/>
    <w:rsid w:val="00323C6B"/>
    <w:rsid w:val="00324BF3"/>
    <w:rsid w:val="00325229"/>
    <w:rsid w:val="00325F92"/>
    <w:rsid w:val="00327465"/>
    <w:rsid w:val="00327620"/>
    <w:rsid w:val="00327899"/>
    <w:rsid w:val="00327A65"/>
    <w:rsid w:val="00327B71"/>
    <w:rsid w:val="003312EF"/>
    <w:rsid w:val="003329B8"/>
    <w:rsid w:val="00332FA0"/>
    <w:rsid w:val="0033651B"/>
    <w:rsid w:val="00336C76"/>
    <w:rsid w:val="00337646"/>
    <w:rsid w:val="00340D6E"/>
    <w:rsid w:val="0034246E"/>
    <w:rsid w:val="003438E9"/>
    <w:rsid w:val="0034539F"/>
    <w:rsid w:val="003458F1"/>
    <w:rsid w:val="003462C8"/>
    <w:rsid w:val="0035127A"/>
    <w:rsid w:val="003523B4"/>
    <w:rsid w:val="00352525"/>
    <w:rsid w:val="0035297F"/>
    <w:rsid w:val="00352BA5"/>
    <w:rsid w:val="00353043"/>
    <w:rsid w:val="00353777"/>
    <w:rsid w:val="00354F26"/>
    <w:rsid w:val="003555D7"/>
    <w:rsid w:val="00356AC0"/>
    <w:rsid w:val="00357618"/>
    <w:rsid w:val="0036059B"/>
    <w:rsid w:val="00361985"/>
    <w:rsid w:val="00361DEC"/>
    <w:rsid w:val="0036234A"/>
    <w:rsid w:val="00364171"/>
    <w:rsid w:val="00364DBC"/>
    <w:rsid w:val="0036552B"/>
    <w:rsid w:val="003655A4"/>
    <w:rsid w:val="003658D0"/>
    <w:rsid w:val="003668F5"/>
    <w:rsid w:val="00367813"/>
    <w:rsid w:val="00367FC9"/>
    <w:rsid w:val="0037101B"/>
    <w:rsid w:val="00371C91"/>
    <w:rsid w:val="00372600"/>
    <w:rsid w:val="00375601"/>
    <w:rsid w:val="0037582E"/>
    <w:rsid w:val="00375D16"/>
    <w:rsid w:val="003772A0"/>
    <w:rsid w:val="003772C0"/>
    <w:rsid w:val="00380517"/>
    <w:rsid w:val="003809D3"/>
    <w:rsid w:val="003810DF"/>
    <w:rsid w:val="003817BE"/>
    <w:rsid w:val="00381AEA"/>
    <w:rsid w:val="003820E6"/>
    <w:rsid w:val="00382B2C"/>
    <w:rsid w:val="00384E18"/>
    <w:rsid w:val="00385228"/>
    <w:rsid w:val="0038527B"/>
    <w:rsid w:val="00385C75"/>
    <w:rsid w:val="003871E9"/>
    <w:rsid w:val="0038720D"/>
    <w:rsid w:val="003876B7"/>
    <w:rsid w:val="003879F3"/>
    <w:rsid w:val="00387F35"/>
    <w:rsid w:val="00387F38"/>
    <w:rsid w:val="00387F63"/>
    <w:rsid w:val="003916B1"/>
    <w:rsid w:val="00392ABA"/>
    <w:rsid w:val="00393F17"/>
    <w:rsid w:val="00394172"/>
    <w:rsid w:val="00396C3C"/>
    <w:rsid w:val="003974D3"/>
    <w:rsid w:val="003A0287"/>
    <w:rsid w:val="003A17A9"/>
    <w:rsid w:val="003A2C97"/>
    <w:rsid w:val="003A3272"/>
    <w:rsid w:val="003A3439"/>
    <w:rsid w:val="003A527E"/>
    <w:rsid w:val="003A5BC0"/>
    <w:rsid w:val="003A5F43"/>
    <w:rsid w:val="003A64AD"/>
    <w:rsid w:val="003A7E18"/>
    <w:rsid w:val="003A7E98"/>
    <w:rsid w:val="003B0199"/>
    <w:rsid w:val="003B07AC"/>
    <w:rsid w:val="003B14C9"/>
    <w:rsid w:val="003B18EF"/>
    <w:rsid w:val="003B1CC4"/>
    <w:rsid w:val="003B29F0"/>
    <w:rsid w:val="003B3640"/>
    <w:rsid w:val="003B3728"/>
    <w:rsid w:val="003B407B"/>
    <w:rsid w:val="003B5B9D"/>
    <w:rsid w:val="003B6A5E"/>
    <w:rsid w:val="003B7225"/>
    <w:rsid w:val="003C0BF0"/>
    <w:rsid w:val="003C2587"/>
    <w:rsid w:val="003C2A99"/>
    <w:rsid w:val="003C3530"/>
    <w:rsid w:val="003C3D56"/>
    <w:rsid w:val="003C3EE4"/>
    <w:rsid w:val="003C596A"/>
    <w:rsid w:val="003C6735"/>
    <w:rsid w:val="003C69B0"/>
    <w:rsid w:val="003C69B6"/>
    <w:rsid w:val="003C6AEF"/>
    <w:rsid w:val="003C6BDE"/>
    <w:rsid w:val="003C6F30"/>
    <w:rsid w:val="003D03EF"/>
    <w:rsid w:val="003D1408"/>
    <w:rsid w:val="003D1548"/>
    <w:rsid w:val="003D20D7"/>
    <w:rsid w:val="003D2320"/>
    <w:rsid w:val="003D3653"/>
    <w:rsid w:val="003D3A71"/>
    <w:rsid w:val="003D547D"/>
    <w:rsid w:val="003D589E"/>
    <w:rsid w:val="003D616A"/>
    <w:rsid w:val="003D717D"/>
    <w:rsid w:val="003D7BE0"/>
    <w:rsid w:val="003D7F41"/>
    <w:rsid w:val="003E0BD2"/>
    <w:rsid w:val="003E16FA"/>
    <w:rsid w:val="003E1B05"/>
    <w:rsid w:val="003E2481"/>
    <w:rsid w:val="003E2ACB"/>
    <w:rsid w:val="003E3130"/>
    <w:rsid w:val="003E3266"/>
    <w:rsid w:val="003E3F3C"/>
    <w:rsid w:val="003E4FF3"/>
    <w:rsid w:val="003E6B7C"/>
    <w:rsid w:val="003E7796"/>
    <w:rsid w:val="003E7C74"/>
    <w:rsid w:val="003F0165"/>
    <w:rsid w:val="003F01E0"/>
    <w:rsid w:val="003F2C3C"/>
    <w:rsid w:val="003F430F"/>
    <w:rsid w:val="003F5690"/>
    <w:rsid w:val="003F61EC"/>
    <w:rsid w:val="003F6310"/>
    <w:rsid w:val="003F70CC"/>
    <w:rsid w:val="003F7A1F"/>
    <w:rsid w:val="003F7F59"/>
    <w:rsid w:val="00401C13"/>
    <w:rsid w:val="004021B6"/>
    <w:rsid w:val="00402A69"/>
    <w:rsid w:val="00402CE4"/>
    <w:rsid w:val="004039ED"/>
    <w:rsid w:val="00403B69"/>
    <w:rsid w:val="004041A5"/>
    <w:rsid w:val="0040505C"/>
    <w:rsid w:val="0040711E"/>
    <w:rsid w:val="00407258"/>
    <w:rsid w:val="00407F7B"/>
    <w:rsid w:val="00411869"/>
    <w:rsid w:val="00412A5A"/>
    <w:rsid w:val="00413296"/>
    <w:rsid w:val="0041348E"/>
    <w:rsid w:val="00413923"/>
    <w:rsid w:val="00413B77"/>
    <w:rsid w:val="00414962"/>
    <w:rsid w:val="00414BBF"/>
    <w:rsid w:val="00415480"/>
    <w:rsid w:val="0041571F"/>
    <w:rsid w:val="00415B92"/>
    <w:rsid w:val="00416489"/>
    <w:rsid w:val="00416D4B"/>
    <w:rsid w:val="00416F56"/>
    <w:rsid w:val="004172CC"/>
    <w:rsid w:val="00417A88"/>
    <w:rsid w:val="00417BB6"/>
    <w:rsid w:val="00421E0D"/>
    <w:rsid w:val="004225F7"/>
    <w:rsid w:val="00422C00"/>
    <w:rsid w:val="00422F59"/>
    <w:rsid w:val="00423D73"/>
    <w:rsid w:val="00423F1C"/>
    <w:rsid w:val="0042543E"/>
    <w:rsid w:val="00425490"/>
    <w:rsid w:val="00430E1F"/>
    <w:rsid w:val="00430E78"/>
    <w:rsid w:val="00430FCA"/>
    <w:rsid w:val="00431924"/>
    <w:rsid w:val="00431E40"/>
    <w:rsid w:val="00432712"/>
    <w:rsid w:val="00434D05"/>
    <w:rsid w:val="00435237"/>
    <w:rsid w:val="00435D42"/>
    <w:rsid w:val="00437A43"/>
    <w:rsid w:val="00437EFB"/>
    <w:rsid w:val="00437FE5"/>
    <w:rsid w:val="00440C52"/>
    <w:rsid w:val="004423BE"/>
    <w:rsid w:val="00442567"/>
    <w:rsid w:val="00442B6C"/>
    <w:rsid w:val="00443BB8"/>
    <w:rsid w:val="00443CFA"/>
    <w:rsid w:val="00447C47"/>
    <w:rsid w:val="004506B6"/>
    <w:rsid w:val="00450EC1"/>
    <w:rsid w:val="00452C6D"/>
    <w:rsid w:val="00453886"/>
    <w:rsid w:val="00455408"/>
    <w:rsid w:val="00455A88"/>
    <w:rsid w:val="00455E1F"/>
    <w:rsid w:val="00456181"/>
    <w:rsid w:val="00457C37"/>
    <w:rsid w:val="00457DAD"/>
    <w:rsid w:val="0046050E"/>
    <w:rsid w:val="0046079B"/>
    <w:rsid w:val="00461ED5"/>
    <w:rsid w:val="00463544"/>
    <w:rsid w:val="004649A9"/>
    <w:rsid w:val="0046576B"/>
    <w:rsid w:val="0046596D"/>
    <w:rsid w:val="00465AA3"/>
    <w:rsid w:val="00465D96"/>
    <w:rsid w:val="00465F78"/>
    <w:rsid w:val="004665A0"/>
    <w:rsid w:val="00466D48"/>
    <w:rsid w:val="00467B9F"/>
    <w:rsid w:val="00472D50"/>
    <w:rsid w:val="00472F15"/>
    <w:rsid w:val="004732B4"/>
    <w:rsid w:val="00474BF2"/>
    <w:rsid w:val="00474CFA"/>
    <w:rsid w:val="004752A4"/>
    <w:rsid w:val="004758DB"/>
    <w:rsid w:val="00475D2B"/>
    <w:rsid w:val="00476CC2"/>
    <w:rsid w:val="004777AB"/>
    <w:rsid w:val="00480753"/>
    <w:rsid w:val="00481450"/>
    <w:rsid w:val="00481977"/>
    <w:rsid w:val="00482527"/>
    <w:rsid w:val="0048278B"/>
    <w:rsid w:val="00483499"/>
    <w:rsid w:val="0048395B"/>
    <w:rsid w:val="00486D5A"/>
    <w:rsid w:val="00487653"/>
    <w:rsid w:val="004908DE"/>
    <w:rsid w:val="00491247"/>
    <w:rsid w:val="00492465"/>
    <w:rsid w:val="004928F1"/>
    <w:rsid w:val="00492FEC"/>
    <w:rsid w:val="004931B1"/>
    <w:rsid w:val="00493556"/>
    <w:rsid w:val="00493FA1"/>
    <w:rsid w:val="00494605"/>
    <w:rsid w:val="00494F56"/>
    <w:rsid w:val="00495464"/>
    <w:rsid w:val="004955E7"/>
    <w:rsid w:val="00497BBE"/>
    <w:rsid w:val="004A01A7"/>
    <w:rsid w:val="004A0A0B"/>
    <w:rsid w:val="004A0CD2"/>
    <w:rsid w:val="004A348D"/>
    <w:rsid w:val="004A3842"/>
    <w:rsid w:val="004A49BA"/>
    <w:rsid w:val="004A62FD"/>
    <w:rsid w:val="004A63EE"/>
    <w:rsid w:val="004A6D28"/>
    <w:rsid w:val="004A6E4D"/>
    <w:rsid w:val="004A74D9"/>
    <w:rsid w:val="004B0F39"/>
    <w:rsid w:val="004B27D7"/>
    <w:rsid w:val="004B29D6"/>
    <w:rsid w:val="004B37EC"/>
    <w:rsid w:val="004B4F1B"/>
    <w:rsid w:val="004B540D"/>
    <w:rsid w:val="004B6CF8"/>
    <w:rsid w:val="004B6D26"/>
    <w:rsid w:val="004C01D2"/>
    <w:rsid w:val="004C1A3B"/>
    <w:rsid w:val="004C1F0A"/>
    <w:rsid w:val="004C36EC"/>
    <w:rsid w:val="004C3B6D"/>
    <w:rsid w:val="004C4297"/>
    <w:rsid w:val="004C44AB"/>
    <w:rsid w:val="004C6627"/>
    <w:rsid w:val="004C6B14"/>
    <w:rsid w:val="004C7F61"/>
    <w:rsid w:val="004D06E5"/>
    <w:rsid w:val="004D0790"/>
    <w:rsid w:val="004D2DEF"/>
    <w:rsid w:val="004D3C46"/>
    <w:rsid w:val="004D3DBE"/>
    <w:rsid w:val="004D40EC"/>
    <w:rsid w:val="004D4840"/>
    <w:rsid w:val="004D710D"/>
    <w:rsid w:val="004E0334"/>
    <w:rsid w:val="004E1014"/>
    <w:rsid w:val="004E1E22"/>
    <w:rsid w:val="004E241E"/>
    <w:rsid w:val="004E3638"/>
    <w:rsid w:val="004E38EF"/>
    <w:rsid w:val="004E4388"/>
    <w:rsid w:val="004E4650"/>
    <w:rsid w:val="004E5A4F"/>
    <w:rsid w:val="004E6CF6"/>
    <w:rsid w:val="004E6F80"/>
    <w:rsid w:val="004F043F"/>
    <w:rsid w:val="004F05A8"/>
    <w:rsid w:val="004F06CB"/>
    <w:rsid w:val="004F357E"/>
    <w:rsid w:val="004F461B"/>
    <w:rsid w:val="004F50CC"/>
    <w:rsid w:val="004F58BB"/>
    <w:rsid w:val="004F6AB1"/>
    <w:rsid w:val="0050158A"/>
    <w:rsid w:val="00501D3D"/>
    <w:rsid w:val="005020C2"/>
    <w:rsid w:val="00502DB1"/>
    <w:rsid w:val="00502ED7"/>
    <w:rsid w:val="0050386F"/>
    <w:rsid w:val="005043C9"/>
    <w:rsid w:val="0050558D"/>
    <w:rsid w:val="005064AA"/>
    <w:rsid w:val="00506CC6"/>
    <w:rsid w:val="005072A3"/>
    <w:rsid w:val="005079EF"/>
    <w:rsid w:val="00507E64"/>
    <w:rsid w:val="00510D55"/>
    <w:rsid w:val="0051495A"/>
    <w:rsid w:val="00515CC7"/>
    <w:rsid w:val="0051675B"/>
    <w:rsid w:val="005178D8"/>
    <w:rsid w:val="005204EC"/>
    <w:rsid w:val="005228DA"/>
    <w:rsid w:val="0052291A"/>
    <w:rsid w:val="0052420D"/>
    <w:rsid w:val="005245A1"/>
    <w:rsid w:val="00527B03"/>
    <w:rsid w:val="005304E4"/>
    <w:rsid w:val="00530F0B"/>
    <w:rsid w:val="0053138A"/>
    <w:rsid w:val="00532642"/>
    <w:rsid w:val="005329DB"/>
    <w:rsid w:val="00533AB7"/>
    <w:rsid w:val="0053770F"/>
    <w:rsid w:val="00537CF1"/>
    <w:rsid w:val="00540ECA"/>
    <w:rsid w:val="00542F27"/>
    <w:rsid w:val="005453AB"/>
    <w:rsid w:val="005460D0"/>
    <w:rsid w:val="005468AC"/>
    <w:rsid w:val="005477FC"/>
    <w:rsid w:val="00547877"/>
    <w:rsid w:val="00547947"/>
    <w:rsid w:val="005509F8"/>
    <w:rsid w:val="00550DB6"/>
    <w:rsid w:val="00551898"/>
    <w:rsid w:val="00553A82"/>
    <w:rsid w:val="00553C6D"/>
    <w:rsid w:val="00553FFB"/>
    <w:rsid w:val="0055439B"/>
    <w:rsid w:val="00554B38"/>
    <w:rsid w:val="00555246"/>
    <w:rsid w:val="00555C85"/>
    <w:rsid w:val="00556283"/>
    <w:rsid w:val="00556ABC"/>
    <w:rsid w:val="00557CD6"/>
    <w:rsid w:val="00560057"/>
    <w:rsid w:val="00561366"/>
    <w:rsid w:val="00563939"/>
    <w:rsid w:val="00563A6F"/>
    <w:rsid w:val="00563FC8"/>
    <w:rsid w:val="00564C95"/>
    <w:rsid w:val="0056573A"/>
    <w:rsid w:val="00565BE3"/>
    <w:rsid w:val="00565BEC"/>
    <w:rsid w:val="005663BC"/>
    <w:rsid w:val="00567573"/>
    <w:rsid w:val="00570291"/>
    <w:rsid w:val="00570B9C"/>
    <w:rsid w:val="00571B54"/>
    <w:rsid w:val="00572657"/>
    <w:rsid w:val="00572DFB"/>
    <w:rsid w:val="005730FA"/>
    <w:rsid w:val="00574181"/>
    <w:rsid w:val="00575D59"/>
    <w:rsid w:val="00576A1D"/>
    <w:rsid w:val="00576A7F"/>
    <w:rsid w:val="00577646"/>
    <w:rsid w:val="005802EA"/>
    <w:rsid w:val="00580767"/>
    <w:rsid w:val="00581212"/>
    <w:rsid w:val="005823D5"/>
    <w:rsid w:val="00582F7D"/>
    <w:rsid w:val="0058335E"/>
    <w:rsid w:val="0058345F"/>
    <w:rsid w:val="005835A2"/>
    <w:rsid w:val="00583A7D"/>
    <w:rsid w:val="00583C04"/>
    <w:rsid w:val="0058497E"/>
    <w:rsid w:val="00585AE7"/>
    <w:rsid w:val="00585B24"/>
    <w:rsid w:val="00586ECD"/>
    <w:rsid w:val="005870B9"/>
    <w:rsid w:val="00587B56"/>
    <w:rsid w:val="0059032A"/>
    <w:rsid w:val="005911CE"/>
    <w:rsid w:val="00591FF3"/>
    <w:rsid w:val="00592014"/>
    <w:rsid w:val="00592735"/>
    <w:rsid w:val="00594EAD"/>
    <w:rsid w:val="00595C1E"/>
    <w:rsid w:val="00597C08"/>
    <w:rsid w:val="005A0D9F"/>
    <w:rsid w:val="005A1980"/>
    <w:rsid w:val="005A3516"/>
    <w:rsid w:val="005A5153"/>
    <w:rsid w:val="005A5C60"/>
    <w:rsid w:val="005A647F"/>
    <w:rsid w:val="005A6899"/>
    <w:rsid w:val="005A70B4"/>
    <w:rsid w:val="005B19E7"/>
    <w:rsid w:val="005B1E4A"/>
    <w:rsid w:val="005B1FFF"/>
    <w:rsid w:val="005B2699"/>
    <w:rsid w:val="005B2D8D"/>
    <w:rsid w:val="005B3F30"/>
    <w:rsid w:val="005B47CC"/>
    <w:rsid w:val="005B5062"/>
    <w:rsid w:val="005B519F"/>
    <w:rsid w:val="005B61DA"/>
    <w:rsid w:val="005B7616"/>
    <w:rsid w:val="005B7D06"/>
    <w:rsid w:val="005C0197"/>
    <w:rsid w:val="005C0A7B"/>
    <w:rsid w:val="005C1248"/>
    <w:rsid w:val="005C1C77"/>
    <w:rsid w:val="005C21EE"/>
    <w:rsid w:val="005C2AE4"/>
    <w:rsid w:val="005C2C2D"/>
    <w:rsid w:val="005C35CC"/>
    <w:rsid w:val="005C3686"/>
    <w:rsid w:val="005C73D2"/>
    <w:rsid w:val="005D0414"/>
    <w:rsid w:val="005D0C61"/>
    <w:rsid w:val="005D0CBB"/>
    <w:rsid w:val="005D396C"/>
    <w:rsid w:val="005D3C55"/>
    <w:rsid w:val="005D5750"/>
    <w:rsid w:val="005D71CF"/>
    <w:rsid w:val="005E0816"/>
    <w:rsid w:val="005E190A"/>
    <w:rsid w:val="005E236C"/>
    <w:rsid w:val="005E2E71"/>
    <w:rsid w:val="005E37B1"/>
    <w:rsid w:val="005E3A5D"/>
    <w:rsid w:val="005E7039"/>
    <w:rsid w:val="005F2277"/>
    <w:rsid w:val="005F2FE5"/>
    <w:rsid w:val="005F4419"/>
    <w:rsid w:val="005F4CF3"/>
    <w:rsid w:val="005F4D55"/>
    <w:rsid w:val="005F5F6C"/>
    <w:rsid w:val="005F630A"/>
    <w:rsid w:val="005F63BB"/>
    <w:rsid w:val="005F6432"/>
    <w:rsid w:val="005F6859"/>
    <w:rsid w:val="005F7091"/>
    <w:rsid w:val="00600F78"/>
    <w:rsid w:val="00601336"/>
    <w:rsid w:val="00601573"/>
    <w:rsid w:val="0060162A"/>
    <w:rsid w:val="006019D4"/>
    <w:rsid w:val="006026AC"/>
    <w:rsid w:val="006036E6"/>
    <w:rsid w:val="00603829"/>
    <w:rsid w:val="006046F7"/>
    <w:rsid w:val="0060576F"/>
    <w:rsid w:val="0060707B"/>
    <w:rsid w:val="006076CC"/>
    <w:rsid w:val="0060777A"/>
    <w:rsid w:val="00607CCD"/>
    <w:rsid w:val="00607FFA"/>
    <w:rsid w:val="0061056F"/>
    <w:rsid w:val="00610C00"/>
    <w:rsid w:val="00611112"/>
    <w:rsid w:val="006138A6"/>
    <w:rsid w:val="00613E76"/>
    <w:rsid w:val="006148B4"/>
    <w:rsid w:val="0061769C"/>
    <w:rsid w:val="00617B05"/>
    <w:rsid w:val="0062166F"/>
    <w:rsid w:val="00621A84"/>
    <w:rsid w:val="00622349"/>
    <w:rsid w:val="00622DFA"/>
    <w:rsid w:val="00622ECD"/>
    <w:rsid w:val="00623CD8"/>
    <w:rsid w:val="0062647F"/>
    <w:rsid w:val="0062676F"/>
    <w:rsid w:val="006270B5"/>
    <w:rsid w:val="0063016E"/>
    <w:rsid w:val="00631344"/>
    <w:rsid w:val="0063206D"/>
    <w:rsid w:val="00632BC2"/>
    <w:rsid w:val="00632C8A"/>
    <w:rsid w:val="0063376E"/>
    <w:rsid w:val="006344D9"/>
    <w:rsid w:val="006351B8"/>
    <w:rsid w:val="00635D72"/>
    <w:rsid w:val="006361FA"/>
    <w:rsid w:val="00643942"/>
    <w:rsid w:val="00643ABE"/>
    <w:rsid w:val="00646E00"/>
    <w:rsid w:val="0064705F"/>
    <w:rsid w:val="00650577"/>
    <w:rsid w:val="00653E20"/>
    <w:rsid w:val="0065476B"/>
    <w:rsid w:val="00654E41"/>
    <w:rsid w:val="00657BEB"/>
    <w:rsid w:val="00657FA5"/>
    <w:rsid w:val="0066027C"/>
    <w:rsid w:val="006603FC"/>
    <w:rsid w:val="00660E0E"/>
    <w:rsid w:val="00661017"/>
    <w:rsid w:val="0066129D"/>
    <w:rsid w:val="00661B00"/>
    <w:rsid w:val="00663317"/>
    <w:rsid w:val="00663AE9"/>
    <w:rsid w:val="00664CB0"/>
    <w:rsid w:val="00665017"/>
    <w:rsid w:val="00665957"/>
    <w:rsid w:val="00666942"/>
    <w:rsid w:val="00666D4F"/>
    <w:rsid w:val="0066734A"/>
    <w:rsid w:val="006713B7"/>
    <w:rsid w:val="00672036"/>
    <w:rsid w:val="006720F0"/>
    <w:rsid w:val="0067306C"/>
    <w:rsid w:val="0067313B"/>
    <w:rsid w:val="00673157"/>
    <w:rsid w:val="0067391B"/>
    <w:rsid w:val="00674605"/>
    <w:rsid w:val="00675825"/>
    <w:rsid w:val="00677067"/>
    <w:rsid w:val="00677491"/>
    <w:rsid w:val="00677E55"/>
    <w:rsid w:val="006826D2"/>
    <w:rsid w:val="00684422"/>
    <w:rsid w:val="0068659B"/>
    <w:rsid w:val="0069058B"/>
    <w:rsid w:val="006907AB"/>
    <w:rsid w:val="00692786"/>
    <w:rsid w:val="0069328B"/>
    <w:rsid w:val="00693653"/>
    <w:rsid w:val="006942AB"/>
    <w:rsid w:val="00694EED"/>
    <w:rsid w:val="00697207"/>
    <w:rsid w:val="00697C1E"/>
    <w:rsid w:val="006A01AA"/>
    <w:rsid w:val="006A4137"/>
    <w:rsid w:val="006A451B"/>
    <w:rsid w:val="006A6B64"/>
    <w:rsid w:val="006A6DB2"/>
    <w:rsid w:val="006A70F5"/>
    <w:rsid w:val="006A793D"/>
    <w:rsid w:val="006A7A9A"/>
    <w:rsid w:val="006A7C91"/>
    <w:rsid w:val="006B11AE"/>
    <w:rsid w:val="006B177F"/>
    <w:rsid w:val="006B476C"/>
    <w:rsid w:val="006B56CC"/>
    <w:rsid w:val="006B5C1C"/>
    <w:rsid w:val="006B605E"/>
    <w:rsid w:val="006B6CB6"/>
    <w:rsid w:val="006B7100"/>
    <w:rsid w:val="006B7171"/>
    <w:rsid w:val="006B7806"/>
    <w:rsid w:val="006B7A6C"/>
    <w:rsid w:val="006C0262"/>
    <w:rsid w:val="006C0CBC"/>
    <w:rsid w:val="006C10B9"/>
    <w:rsid w:val="006C176A"/>
    <w:rsid w:val="006C1880"/>
    <w:rsid w:val="006C1A35"/>
    <w:rsid w:val="006C2B6B"/>
    <w:rsid w:val="006C2B6F"/>
    <w:rsid w:val="006C322B"/>
    <w:rsid w:val="006C3440"/>
    <w:rsid w:val="006C381C"/>
    <w:rsid w:val="006C3FEA"/>
    <w:rsid w:val="006C4057"/>
    <w:rsid w:val="006C4214"/>
    <w:rsid w:val="006C5263"/>
    <w:rsid w:val="006C635B"/>
    <w:rsid w:val="006C6D0D"/>
    <w:rsid w:val="006C6EC8"/>
    <w:rsid w:val="006C7AC2"/>
    <w:rsid w:val="006D2578"/>
    <w:rsid w:val="006D3209"/>
    <w:rsid w:val="006D3281"/>
    <w:rsid w:val="006D4AB6"/>
    <w:rsid w:val="006D4BF3"/>
    <w:rsid w:val="006D58C7"/>
    <w:rsid w:val="006D78D0"/>
    <w:rsid w:val="006E22E0"/>
    <w:rsid w:val="006E296D"/>
    <w:rsid w:val="006E30EB"/>
    <w:rsid w:val="006E317B"/>
    <w:rsid w:val="006E3559"/>
    <w:rsid w:val="006E36C7"/>
    <w:rsid w:val="006E432B"/>
    <w:rsid w:val="006E47CC"/>
    <w:rsid w:val="006E4D21"/>
    <w:rsid w:val="006E6E11"/>
    <w:rsid w:val="006E790F"/>
    <w:rsid w:val="006F11D5"/>
    <w:rsid w:val="006F1B23"/>
    <w:rsid w:val="006F1B41"/>
    <w:rsid w:val="006F1BCF"/>
    <w:rsid w:val="006F1DC4"/>
    <w:rsid w:val="006F1F4B"/>
    <w:rsid w:val="006F303B"/>
    <w:rsid w:val="006F3267"/>
    <w:rsid w:val="006F38E5"/>
    <w:rsid w:val="006F4106"/>
    <w:rsid w:val="006F4775"/>
    <w:rsid w:val="006F5573"/>
    <w:rsid w:val="006F5C46"/>
    <w:rsid w:val="006F6635"/>
    <w:rsid w:val="006F6F0B"/>
    <w:rsid w:val="006F7106"/>
    <w:rsid w:val="006F7C03"/>
    <w:rsid w:val="006F7C26"/>
    <w:rsid w:val="00702598"/>
    <w:rsid w:val="00702BE5"/>
    <w:rsid w:val="00703999"/>
    <w:rsid w:val="007045CA"/>
    <w:rsid w:val="007045D4"/>
    <w:rsid w:val="00706974"/>
    <w:rsid w:val="0070772C"/>
    <w:rsid w:val="0070786D"/>
    <w:rsid w:val="00710F1D"/>
    <w:rsid w:val="00711017"/>
    <w:rsid w:val="007110B3"/>
    <w:rsid w:val="0071156D"/>
    <w:rsid w:val="00711FFC"/>
    <w:rsid w:val="007123D1"/>
    <w:rsid w:val="00713FF8"/>
    <w:rsid w:val="00714114"/>
    <w:rsid w:val="0071432A"/>
    <w:rsid w:val="00714ACF"/>
    <w:rsid w:val="00715532"/>
    <w:rsid w:val="00716335"/>
    <w:rsid w:val="0071682E"/>
    <w:rsid w:val="00716F64"/>
    <w:rsid w:val="00720E7B"/>
    <w:rsid w:val="007217E3"/>
    <w:rsid w:val="0072339E"/>
    <w:rsid w:val="00724194"/>
    <w:rsid w:val="007256D2"/>
    <w:rsid w:val="00727370"/>
    <w:rsid w:val="0072739A"/>
    <w:rsid w:val="007273EB"/>
    <w:rsid w:val="007277F8"/>
    <w:rsid w:val="00733BB1"/>
    <w:rsid w:val="00734B9F"/>
    <w:rsid w:val="00740187"/>
    <w:rsid w:val="00740428"/>
    <w:rsid w:val="007407CF"/>
    <w:rsid w:val="00740FDF"/>
    <w:rsid w:val="007416B4"/>
    <w:rsid w:val="00741D52"/>
    <w:rsid w:val="00743A48"/>
    <w:rsid w:val="00743B8E"/>
    <w:rsid w:val="007443F4"/>
    <w:rsid w:val="007451BA"/>
    <w:rsid w:val="00745D96"/>
    <w:rsid w:val="00750A00"/>
    <w:rsid w:val="00751B59"/>
    <w:rsid w:val="00751FF2"/>
    <w:rsid w:val="00752C27"/>
    <w:rsid w:val="00753395"/>
    <w:rsid w:val="007536CC"/>
    <w:rsid w:val="00753C84"/>
    <w:rsid w:val="0075594F"/>
    <w:rsid w:val="00755BD8"/>
    <w:rsid w:val="00757A01"/>
    <w:rsid w:val="007600BD"/>
    <w:rsid w:val="00760C43"/>
    <w:rsid w:val="007611D0"/>
    <w:rsid w:val="007616A7"/>
    <w:rsid w:val="00762FF0"/>
    <w:rsid w:val="00766A29"/>
    <w:rsid w:val="00767928"/>
    <w:rsid w:val="00767938"/>
    <w:rsid w:val="00770FDF"/>
    <w:rsid w:val="00771D07"/>
    <w:rsid w:val="00772327"/>
    <w:rsid w:val="00772A55"/>
    <w:rsid w:val="007731D3"/>
    <w:rsid w:val="007740E4"/>
    <w:rsid w:val="00774AC7"/>
    <w:rsid w:val="00775076"/>
    <w:rsid w:val="007774DD"/>
    <w:rsid w:val="0078067A"/>
    <w:rsid w:val="00780F87"/>
    <w:rsid w:val="007818C9"/>
    <w:rsid w:val="00782583"/>
    <w:rsid w:val="007828CB"/>
    <w:rsid w:val="00782FBB"/>
    <w:rsid w:val="007842FB"/>
    <w:rsid w:val="00786B57"/>
    <w:rsid w:val="007872B5"/>
    <w:rsid w:val="00787637"/>
    <w:rsid w:val="00791792"/>
    <w:rsid w:val="00792EE2"/>
    <w:rsid w:val="00794606"/>
    <w:rsid w:val="00795775"/>
    <w:rsid w:val="00797A93"/>
    <w:rsid w:val="00797B57"/>
    <w:rsid w:val="007A0C01"/>
    <w:rsid w:val="007A136B"/>
    <w:rsid w:val="007A4F23"/>
    <w:rsid w:val="007A7153"/>
    <w:rsid w:val="007A7A2A"/>
    <w:rsid w:val="007B00F9"/>
    <w:rsid w:val="007B09DF"/>
    <w:rsid w:val="007B130B"/>
    <w:rsid w:val="007B2350"/>
    <w:rsid w:val="007B360E"/>
    <w:rsid w:val="007B4D06"/>
    <w:rsid w:val="007B57F4"/>
    <w:rsid w:val="007B76EC"/>
    <w:rsid w:val="007B7FAA"/>
    <w:rsid w:val="007C04C5"/>
    <w:rsid w:val="007C309B"/>
    <w:rsid w:val="007C31F7"/>
    <w:rsid w:val="007C3A5A"/>
    <w:rsid w:val="007C40C5"/>
    <w:rsid w:val="007C5C9E"/>
    <w:rsid w:val="007C62DA"/>
    <w:rsid w:val="007C6FFF"/>
    <w:rsid w:val="007C71ED"/>
    <w:rsid w:val="007C78EB"/>
    <w:rsid w:val="007C7B04"/>
    <w:rsid w:val="007D02ED"/>
    <w:rsid w:val="007D3FC5"/>
    <w:rsid w:val="007D5234"/>
    <w:rsid w:val="007D5B0A"/>
    <w:rsid w:val="007D5CF8"/>
    <w:rsid w:val="007D5D7C"/>
    <w:rsid w:val="007D5DF1"/>
    <w:rsid w:val="007D6302"/>
    <w:rsid w:val="007D75B8"/>
    <w:rsid w:val="007D7E3B"/>
    <w:rsid w:val="007E02C9"/>
    <w:rsid w:val="007E3FF1"/>
    <w:rsid w:val="007E484D"/>
    <w:rsid w:val="007E48B9"/>
    <w:rsid w:val="007E4E61"/>
    <w:rsid w:val="007E5471"/>
    <w:rsid w:val="007E646A"/>
    <w:rsid w:val="007E68EB"/>
    <w:rsid w:val="007E6C47"/>
    <w:rsid w:val="007E7324"/>
    <w:rsid w:val="007E7464"/>
    <w:rsid w:val="007E79BA"/>
    <w:rsid w:val="007E7A9A"/>
    <w:rsid w:val="007F0448"/>
    <w:rsid w:val="007F059E"/>
    <w:rsid w:val="007F16E1"/>
    <w:rsid w:val="007F19B7"/>
    <w:rsid w:val="007F32B8"/>
    <w:rsid w:val="007F36B1"/>
    <w:rsid w:val="007F3836"/>
    <w:rsid w:val="007F583E"/>
    <w:rsid w:val="007F70D2"/>
    <w:rsid w:val="007F7729"/>
    <w:rsid w:val="0080046A"/>
    <w:rsid w:val="0080094E"/>
    <w:rsid w:val="00801089"/>
    <w:rsid w:val="008017B9"/>
    <w:rsid w:val="008017CF"/>
    <w:rsid w:val="00801BAA"/>
    <w:rsid w:val="008030B1"/>
    <w:rsid w:val="00803169"/>
    <w:rsid w:val="008041D5"/>
    <w:rsid w:val="00805735"/>
    <w:rsid w:val="00805F97"/>
    <w:rsid w:val="00806033"/>
    <w:rsid w:val="008077F6"/>
    <w:rsid w:val="00810637"/>
    <w:rsid w:val="00810821"/>
    <w:rsid w:val="00810C06"/>
    <w:rsid w:val="00811243"/>
    <w:rsid w:val="00812247"/>
    <w:rsid w:val="0081378F"/>
    <w:rsid w:val="00814A1F"/>
    <w:rsid w:val="00814AD2"/>
    <w:rsid w:val="00815BC2"/>
    <w:rsid w:val="00815D85"/>
    <w:rsid w:val="00816702"/>
    <w:rsid w:val="00816DB6"/>
    <w:rsid w:val="00816EF6"/>
    <w:rsid w:val="00816F6D"/>
    <w:rsid w:val="0081732A"/>
    <w:rsid w:val="008177F9"/>
    <w:rsid w:val="00822715"/>
    <w:rsid w:val="00822849"/>
    <w:rsid w:val="008229C8"/>
    <w:rsid w:val="00823686"/>
    <w:rsid w:val="008239FA"/>
    <w:rsid w:val="00824AB0"/>
    <w:rsid w:val="00824C7B"/>
    <w:rsid w:val="00825E18"/>
    <w:rsid w:val="00825F25"/>
    <w:rsid w:val="00827853"/>
    <w:rsid w:val="00827961"/>
    <w:rsid w:val="00830159"/>
    <w:rsid w:val="008307E2"/>
    <w:rsid w:val="00830D12"/>
    <w:rsid w:val="0083144F"/>
    <w:rsid w:val="00832279"/>
    <w:rsid w:val="008346A7"/>
    <w:rsid w:val="00834DF4"/>
    <w:rsid w:val="00835037"/>
    <w:rsid w:val="008357D7"/>
    <w:rsid w:val="008358D1"/>
    <w:rsid w:val="00835D9A"/>
    <w:rsid w:val="00836B27"/>
    <w:rsid w:val="00837F8B"/>
    <w:rsid w:val="00840219"/>
    <w:rsid w:val="00840A7A"/>
    <w:rsid w:val="008427BE"/>
    <w:rsid w:val="0084406A"/>
    <w:rsid w:val="00844764"/>
    <w:rsid w:val="008451A1"/>
    <w:rsid w:val="008452E2"/>
    <w:rsid w:val="008456A7"/>
    <w:rsid w:val="00845BF2"/>
    <w:rsid w:val="00846D19"/>
    <w:rsid w:val="00846FFD"/>
    <w:rsid w:val="008472EC"/>
    <w:rsid w:val="008479D0"/>
    <w:rsid w:val="0085078C"/>
    <w:rsid w:val="00851156"/>
    <w:rsid w:val="0085233F"/>
    <w:rsid w:val="00853825"/>
    <w:rsid w:val="00853AAB"/>
    <w:rsid w:val="0085451B"/>
    <w:rsid w:val="00855A6C"/>
    <w:rsid w:val="00856BB5"/>
    <w:rsid w:val="00860AB6"/>
    <w:rsid w:val="00860CE6"/>
    <w:rsid w:val="00861003"/>
    <w:rsid w:val="00863094"/>
    <w:rsid w:val="00863955"/>
    <w:rsid w:val="00864367"/>
    <w:rsid w:val="00865970"/>
    <w:rsid w:val="00866DB1"/>
    <w:rsid w:val="008672F7"/>
    <w:rsid w:val="008707D6"/>
    <w:rsid w:val="00870F14"/>
    <w:rsid w:val="008724D9"/>
    <w:rsid w:val="00872B06"/>
    <w:rsid w:val="00872DD7"/>
    <w:rsid w:val="00873282"/>
    <w:rsid w:val="00873663"/>
    <w:rsid w:val="00874654"/>
    <w:rsid w:val="00874813"/>
    <w:rsid w:val="0087597C"/>
    <w:rsid w:val="00876DC2"/>
    <w:rsid w:val="00877618"/>
    <w:rsid w:val="00877DDB"/>
    <w:rsid w:val="008805A2"/>
    <w:rsid w:val="0088127D"/>
    <w:rsid w:val="008813E0"/>
    <w:rsid w:val="008822AE"/>
    <w:rsid w:val="008824E4"/>
    <w:rsid w:val="008832B1"/>
    <w:rsid w:val="0088548B"/>
    <w:rsid w:val="0088719E"/>
    <w:rsid w:val="00890F52"/>
    <w:rsid w:val="00891B98"/>
    <w:rsid w:val="00891BC0"/>
    <w:rsid w:val="008923BA"/>
    <w:rsid w:val="00892611"/>
    <w:rsid w:val="00893397"/>
    <w:rsid w:val="0089372C"/>
    <w:rsid w:val="008954C8"/>
    <w:rsid w:val="008958DA"/>
    <w:rsid w:val="008969EE"/>
    <w:rsid w:val="00897B57"/>
    <w:rsid w:val="008A0040"/>
    <w:rsid w:val="008A1449"/>
    <w:rsid w:val="008A2F40"/>
    <w:rsid w:val="008A4500"/>
    <w:rsid w:val="008A4F4B"/>
    <w:rsid w:val="008A5099"/>
    <w:rsid w:val="008A535A"/>
    <w:rsid w:val="008A7B25"/>
    <w:rsid w:val="008B0212"/>
    <w:rsid w:val="008B10DE"/>
    <w:rsid w:val="008B2047"/>
    <w:rsid w:val="008B2907"/>
    <w:rsid w:val="008B3E83"/>
    <w:rsid w:val="008B45EA"/>
    <w:rsid w:val="008B525F"/>
    <w:rsid w:val="008B596F"/>
    <w:rsid w:val="008B5DC1"/>
    <w:rsid w:val="008B5F71"/>
    <w:rsid w:val="008B6857"/>
    <w:rsid w:val="008B713A"/>
    <w:rsid w:val="008C0F63"/>
    <w:rsid w:val="008C0FEB"/>
    <w:rsid w:val="008C2102"/>
    <w:rsid w:val="008C3598"/>
    <w:rsid w:val="008C519B"/>
    <w:rsid w:val="008C5AC4"/>
    <w:rsid w:val="008C72C4"/>
    <w:rsid w:val="008D0134"/>
    <w:rsid w:val="008D0FBB"/>
    <w:rsid w:val="008D0FD8"/>
    <w:rsid w:val="008D15D1"/>
    <w:rsid w:val="008D20B7"/>
    <w:rsid w:val="008D2688"/>
    <w:rsid w:val="008D2714"/>
    <w:rsid w:val="008D2B86"/>
    <w:rsid w:val="008D3F48"/>
    <w:rsid w:val="008D4BB6"/>
    <w:rsid w:val="008D5327"/>
    <w:rsid w:val="008D6479"/>
    <w:rsid w:val="008D67A4"/>
    <w:rsid w:val="008D6C87"/>
    <w:rsid w:val="008E0B1E"/>
    <w:rsid w:val="008E33AA"/>
    <w:rsid w:val="008E450C"/>
    <w:rsid w:val="008E475F"/>
    <w:rsid w:val="008E47B8"/>
    <w:rsid w:val="008E4E81"/>
    <w:rsid w:val="008E52A0"/>
    <w:rsid w:val="008E56B6"/>
    <w:rsid w:val="008E6260"/>
    <w:rsid w:val="008E6467"/>
    <w:rsid w:val="008E6D94"/>
    <w:rsid w:val="008E7089"/>
    <w:rsid w:val="008E72C3"/>
    <w:rsid w:val="008E7446"/>
    <w:rsid w:val="008E75FC"/>
    <w:rsid w:val="008F085A"/>
    <w:rsid w:val="008F0C58"/>
    <w:rsid w:val="008F183D"/>
    <w:rsid w:val="008F4351"/>
    <w:rsid w:val="008F538C"/>
    <w:rsid w:val="008F56C7"/>
    <w:rsid w:val="0090086B"/>
    <w:rsid w:val="00900FC1"/>
    <w:rsid w:val="00901FAC"/>
    <w:rsid w:val="00902987"/>
    <w:rsid w:val="00902BE7"/>
    <w:rsid w:val="00903F21"/>
    <w:rsid w:val="00903F72"/>
    <w:rsid w:val="00905D4A"/>
    <w:rsid w:val="00906487"/>
    <w:rsid w:val="00907643"/>
    <w:rsid w:val="00911164"/>
    <w:rsid w:val="00911FA9"/>
    <w:rsid w:val="00912138"/>
    <w:rsid w:val="00912F92"/>
    <w:rsid w:val="0091385C"/>
    <w:rsid w:val="0091484B"/>
    <w:rsid w:val="009152D3"/>
    <w:rsid w:val="00915E16"/>
    <w:rsid w:val="00916924"/>
    <w:rsid w:val="00917F4D"/>
    <w:rsid w:val="0092033C"/>
    <w:rsid w:val="00920691"/>
    <w:rsid w:val="00920F07"/>
    <w:rsid w:val="00920F26"/>
    <w:rsid w:val="00921899"/>
    <w:rsid w:val="00922741"/>
    <w:rsid w:val="00922A0F"/>
    <w:rsid w:val="009239DE"/>
    <w:rsid w:val="009246D7"/>
    <w:rsid w:val="00924D0A"/>
    <w:rsid w:val="009260F6"/>
    <w:rsid w:val="009307DA"/>
    <w:rsid w:val="00930A71"/>
    <w:rsid w:val="0093188B"/>
    <w:rsid w:val="009319B9"/>
    <w:rsid w:val="00932831"/>
    <w:rsid w:val="009328ED"/>
    <w:rsid w:val="0093307B"/>
    <w:rsid w:val="00933C09"/>
    <w:rsid w:val="00934A9B"/>
    <w:rsid w:val="009351F5"/>
    <w:rsid w:val="00937577"/>
    <w:rsid w:val="0094070C"/>
    <w:rsid w:val="009408F6"/>
    <w:rsid w:val="009428E3"/>
    <w:rsid w:val="009446F2"/>
    <w:rsid w:val="00945177"/>
    <w:rsid w:val="00945D0A"/>
    <w:rsid w:val="009501CF"/>
    <w:rsid w:val="0095024D"/>
    <w:rsid w:val="00950F06"/>
    <w:rsid w:val="00950F9A"/>
    <w:rsid w:val="00950FDE"/>
    <w:rsid w:val="00951234"/>
    <w:rsid w:val="0095139B"/>
    <w:rsid w:val="00951CF0"/>
    <w:rsid w:val="0095234B"/>
    <w:rsid w:val="0095269B"/>
    <w:rsid w:val="009529A2"/>
    <w:rsid w:val="009529A9"/>
    <w:rsid w:val="009530F9"/>
    <w:rsid w:val="00953C18"/>
    <w:rsid w:val="00953C43"/>
    <w:rsid w:val="009544A6"/>
    <w:rsid w:val="00954D97"/>
    <w:rsid w:val="009558DA"/>
    <w:rsid w:val="009563D7"/>
    <w:rsid w:val="009568D3"/>
    <w:rsid w:val="0095731C"/>
    <w:rsid w:val="00957BE9"/>
    <w:rsid w:val="00957FA0"/>
    <w:rsid w:val="0096178A"/>
    <w:rsid w:val="00962066"/>
    <w:rsid w:val="0096216E"/>
    <w:rsid w:val="0096243A"/>
    <w:rsid w:val="009625B0"/>
    <w:rsid w:val="00962C07"/>
    <w:rsid w:val="009632D6"/>
    <w:rsid w:val="00963DB6"/>
    <w:rsid w:val="00965DF2"/>
    <w:rsid w:val="00965FFC"/>
    <w:rsid w:val="009669D7"/>
    <w:rsid w:val="00966FE8"/>
    <w:rsid w:val="00970013"/>
    <w:rsid w:val="0097045E"/>
    <w:rsid w:val="00970EB6"/>
    <w:rsid w:val="009710DC"/>
    <w:rsid w:val="00971339"/>
    <w:rsid w:val="00971E7C"/>
    <w:rsid w:val="00972C0A"/>
    <w:rsid w:val="00974304"/>
    <w:rsid w:val="009748AF"/>
    <w:rsid w:val="00974BD4"/>
    <w:rsid w:val="00976E88"/>
    <w:rsid w:val="009821AE"/>
    <w:rsid w:val="009823F4"/>
    <w:rsid w:val="00983BB1"/>
    <w:rsid w:val="00983C18"/>
    <w:rsid w:val="00984201"/>
    <w:rsid w:val="00987AEF"/>
    <w:rsid w:val="00987C04"/>
    <w:rsid w:val="00990DA2"/>
    <w:rsid w:val="00993042"/>
    <w:rsid w:val="009939F4"/>
    <w:rsid w:val="0099400E"/>
    <w:rsid w:val="009940B2"/>
    <w:rsid w:val="00994B4C"/>
    <w:rsid w:val="00994DC8"/>
    <w:rsid w:val="009966F3"/>
    <w:rsid w:val="009969BD"/>
    <w:rsid w:val="009A05D2"/>
    <w:rsid w:val="009A2858"/>
    <w:rsid w:val="009A3C8E"/>
    <w:rsid w:val="009A466D"/>
    <w:rsid w:val="009A6181"/>
    <w:rsid w:val="009A6322"/>
    <w:rsid w:val="009A70A1"/>
    <w:rsid w:val="009A72B6"/>
    <w:rsid w:val="009B0A2C"/>
    <w:rsid w:val="009B0B87"/>
    <w:rsid w:val="009B1DA7"/>
    <w:rsid w:val="009B29B9"/>
    <w:rsid w:val="009B3A14"/>
    <w:rsid w:val="009B4FD1"/>
    <w:rsid w:val="009B5852"/>
    <w:rsid w:val="009B64D9"/>
    <w:rsid w:val="009B703E"/>
    <w:rsid w:val="009C0C0B"/>
    <w:rsid w:val="009C130E"/>
    <w:rsid w:val="009C371E"/>
    <w:rsid w:val="009C3ACD"/>
    <w:rsid w:val="009C43AA"/>
    <w:rsid w:val="009C4D94"/>
    <w:rsid w:val="009C63E3"/>
    <w:rsid w:val="009C6EC2"/>
    <w:rsid w:val="009C72CC"/>
    <w:rsid w:val="009C7786"/>
    <w:rsid w:val="009C79CA"/>
    <w:rsid w:val="009D0AA9"/>
    <w:rsid w:val="009D0F31"/>
    <w:rsid w:val="009D4E76"/>
    <w:rsid w:val="009E0229"/>
    <w:rsid w:val="009E02AA"/>
    <w:rsid w:val="009E0EF8"/>
    <w:rsid w:val="009E2600"/>
    <w:rsid w:val="009E2D0D"/>
    <w:rsid w:val="009E3BF0"/>
    <w:rsid w:val="009E6227"/>
    <w:rsid w:val="009E69C3"/>
    <w:rsid w:val="009E6E50"/>
    <w:rsid w:val="009E75B7"/>
    <w:rsid w:val="009E7637"/>
    <w:rsid w:val="009F01C2"/>
    <w:rsid w:val="009F0848"/>
    <w:rsid w:val="009F0D2A"/>
    <w:rsid w:val="009F15DB"/>
    <w:rsid w:val="009F24D5"/>
    <w:rsid w:val="009F2528"/>
    <w:rsid w:val="009F2936"/>
    <w:rsid w:val="009F371D"/>
    <w:rsid w:val="009F4716"/>
    <w:rsid w:val="009F56B6"/>
    <w:rsid w:val="009F5840"/>
    <w:rsid w:val="009F5843"/>
    <w:rsid w:val="009F598F"/>
    <w:rsid w:val="00A009BA"/>
    <w:rsid w:val="00A01279"/>
    <w:rsid w:val="00A0216B"/>
    <w:rsid w:val="00A02800"/>
    <w:rsid w:val="00A07685"/>
    <w:rsid w:val="00A07DF8"/>
    <w:rsid w:val="00A11C97"/>
    <w:rsid w:val="00A12001"/>
    <w:rsid w:val="00A12A1C"/>
    <w:rsid w:val="00A134A6"/>
    <w:rsid w:val="00A139FA"/>
    <w:rsid w:val="00A13BCB"/>
    <w:rsid w:val="00A1661A"/>
    <w:rsid w:val="00A17045"/>
    <w:rsid w:val="00A21282"/>
    <w:rsid w:val="00A22960"/>
    <w:rsid w:val="00A22F45"/>
    <w:rsid w:val="00A23704"/>
    <w:rsid w:val="00A23CC6"/>
    <w:rsid w:val="00A26397"/>
    <w:rsid w:val="00A26C47"/>
    <w:rsid w:val="00A26FD5"/>
    <w:rsid w:val="00A30DC8"/>
    <w:rsid w:val="00A31724"/>
    <w:rsid w:val="00A31D17"/>
    <w:rsid w:val="00A32A8D"/>
    <w:rsid w:val="00A33190"/>
    <w:rsid w:val="00A3611E"/>
    <w:rsid w:val="00A36E6B"/>
    <w:rsid w:val="00A40404"/>
    <w:rsid w:val="00A4077C"/>
    <w:rsid w:val="00A40D88"/>
    <w:rsid w:val="00A41499"/>
    <w:rsid w:val="00A415D9"/>
    <w:rsid w:val="00A428DA"/>
    <w:rsid w:val="00A433C0"/>
    <w:rsid w:val="00A4528B"/>
    <w:rsid w:val="00A45554"/>
    <w:rsid w:val="00A455ED"/>
    <w:rsid w:val="00A45BCE"/>
    <w:rsid w:val="00A45D69"/>
    <w:rsid w:val="00A45F58"/>
    <w:rsid w:val="00A47636"/>
    <w:rsid w:val="00A5078E"/>
    <w:rsid w:val="00A5163A"/>
    <w:rsid w:val="00A53126"/>
    <w:rsid w:val="00A5327E"/>
    <w:rsid w:val="00A54E19"/>
    <w:rsid w:val="00A56CFD"/>
    <w:rsid w:val="00A57649"/>
    <w:rsid w:val="00A61041"/>
    <w:rsid w:val="00A6252D"/>
    <w:rsid w:val="00A631BD"/>
    <w:rsid w:val="00A65450"/>
    <w:rsid w:val="00A666C4"/>
    <w:rsid w:val="00A66C2A"/>
    <w:rsid w:val="00A66F30"/>
    <w:rsid w:val="00A7065A"/>
    <w:rsid w:val="00A70FDC"/>
    <w:rsid w:val="00A714E1"/>
    <w:rsid w:val="00A72662"/>
    <w:rsid w:val="00A732AD"/>
    <w:rsid w:val="00A736B2"/>
    <w:rsid w:val="00A73A4C"/>
    <w:rsid w:val="00A73FA8"/>
    <w:rsid w:val="00A747BC"/>
    <w:rsid w:val="00A74C7C"/>
    <w:rsid w:val="00A771EE"/>
    <w:rsid w:val="00A77435"/>
    <w:rsid w:val="00A82FD3"/>
    <w:rsid w:val="00A83922"/>
    <w:rsid w:val="00A839D3"/>
    <w:rsid w:val="00A83D34"/>
    <w:rsid w:val="00A85762"/>
    <w:rsid w:val="00A86883"/>
    <w:rsid w:val="00A86B80"/>
    <w:rsid w:val="00A87E56"/>
    <w:rsid w:val="00A9033D"/>
    <w:rsid w:val="00A91D2C"/>
    <w:rsid w:val="00A9314B"/>
    <w:rsid w:val="00A95627"/>
    <w:rsid w:val="00A95CF4"/>
    <w:rsid w:val="00A97E2B"/>
    <w:rsid w:val="00AA120F"/>
    <w:rsid w:val="00AA23D3"/>
    <w:rsid w:val="00AA2F77"/>
    <w:rsid w:val="00AA33B7"/>
    <w:rsid w:val="00AA3A9D"/>
    <w:rsid w:val="00AA3EDC"/>
    <w:rsid w:val="00AA4777"/>
    <w:rsid w:val="00AA501A"/>
    <w:rsid w:val="00AA77FA"/>
    <w:rsid w:val="00AA7C2E"/>
    <w:rsid w:val="00AA7D87"/>
    <w:rsid w:val="00AB144B"/>
    <w:rsid w:val="00AB2318"/>
    <w:rsid w:val="00AB46C3"/>
    <w:rsid w:val="00AB5E2F"/>
    <w:rsid w:val="00AB601C"/>
    <w:rsid w:val="00AB6423"/>
    <w:rsid w:val="00AC0317"/>
    <w:rsid w:val="00AC0CC2"/>
    <w:rsid w:val="00AC27EA"/>
    <w:rsid w:val="00AC2BE2"/>
    <w:rsid w:val="00AC3679"/>
    <w:rsid w:val="00AC3BFF"/>
    <w:rsid w:val="00AC5685"/>
    <w:rsid w:val="00AC6491"/>
    <w:rsid w:val="00AD2A6B"/>
    <w:rsid w:val="00AD34F3"/>
    <w:rsid w:val="00AD519D"/>
    <w:rsid w:val="00AE0476"/>
    <w:rsid w:val="00AE0511"/>
    <w:rsid w:val="00AE0C6D"/>
    <w:rsid w:val="00AE0DB2"/>
    <w:rsid w:val="00AE11A4"/>
    <w:rsid w:val="00AE122B"/>
    <w:rsid w:val="00AE1E82"/>
    <w:rsid w:val="00AE22B3"/>
    <w:rsid w:val="00AE344A"/>
    <w:rsid w:val="00AE3525"/>
    <w:rsid w:val="00AE3693"/>
    <w:rsid w:val="00AE394E"/>
    <w:rsid w:val="00AE4166"/>
    <w:rsid w:val="00AE6A10"/>
    <w:rsid w:val="00AE6B65"/>
    <w:rsid w:val="00AE7453"/>
    <w:rsid w:val="00AE7856"/>
    <w:rsid w:val="00AE7ADC"/>
    <w:rsid w:val="00AE7F38"/>
    <w:rsid w:val="00AF16CF"/>
    <w:rsid w:val="00AF36C3"/>
    <w:rsid w:val="00AF3BBB"/>
    <w:rsid w:val="00AF4125"/>
    <w:rsid w:val="00AF4891"/>
    <w:rsid w:val="00AF4F87"/>
    <w:rsid w:val="00B02471"/>
    <w:rsid w:val="00B02F37"/>
    <w:rsid w:val="00B03096"/>
    <w:rsid w:val="00B04440"/>
    <w:rsid w:val="00B04C10"/>
    <w:rsid w:val="00B077DB"/>
    <w:rsid w:val="00B12420"/>
    <w:rsid w:val="00B1310A"/>
    <w:rsid w:val="00B13299"/>
    <w:rsid w:val="00B139DD"/>
    <w:rsid w:val="00B167F1"/>
    <w:rsid w:val="00B1684E"/>
    <w:rsid w:val="00B17ABF"/>
    <w:rsid w:val="00B17F1A"/>
    <w:rsid w:val="00B17FEF"/>
    <w:rsid w:val="00B20CAB"/>
    <w:rsid w:val="00B23181"/>
    <w:rsid w:val="00B247A5"/>
    <w:rsid w:val="00B24DF7"/>
    <w:rsid w:val="00B24E24"/>
    <w:rsid w:val="00B257CC"/>
    <w:rsid w:val="00B260BF"/>
    <w:rsid w:val="00B30679"/>
    <w:rsid w:val="00B30D07"/>
    <w:rsid w:val="00B31D7D"/>
    <w:rsid w:val="00B33805"/>
    <w:rsid w:val="00B3439A"/>
    <w:rsid w:val="00B3571D"/>
    <w:rsid w:val="00B36A8C"/>
    <w:rsid w:val="00B36FEE"/>
    <w:rsid w:val="00B37772"/>
    <w:rsid w:val="00B37AB0"/>
    <w:rsid w:val="00B37F5F"/>
    <w:rsid w:val="00B41859"/>
    <w:rsid w:val="00B42BD1"/>
    <w:rsid w:val="00B42E7C"/>
    <w:rsid w:val="00B433F9"/>
    <w:rsid w:val="00B44007"/>
    <w:rsid w:val="00B448AB"/>
    <w:rsid w:val="00B44E45"/>
    <w:rsid w:val="00B455BA"/>
    <w:rsid w:val="00B4667B"/>
    <w:rsid w:val="00B468C1"/>
    <w:rsid w:val="00B50055"/>
    <w:rsid w:val="00B50D69"/>
    <w:rsid w:val="00B533A3"/>
    <w:rsid w:val="00B549B8"/>
    <w:rsid w:val="00B54AE8"/>
    <w:rsid w:val="00B56DAE"/>
    <w:rsid w:val="00B5708F"/>
    <w:rsid w:val="00B575FB"/>
    <w:rsid w:val="00B57AD6"/>
    <w:rsid w:val="00B600EF"/>
    <w:rsid w:val="00B60255"/>
    <w:rsid w:val="00B6275E"/>
    <w:rsid w:val="00B6371E"/>
    <w:rsid w:val="00B64366"/>
    <w:rsid w:val="00B64CBD"/>
    <w:rsid w:val="00B65338"/>
    <w:rsid w:val="00B6543D"/>
    <w:rsid w:val="00B6584D"/>
    <w:rsid w:val="00B65A5F"/>
    <w:rsid w:val="00B6609C"/>
    <w:rsid w:val="00B66EE3"/>
    <w:rsid w:val="00B6722C"/>
    <w:rsid w:val="00B67456"/>
    <w:rsid w:val="00B70E2A"/>
    <w:rsid w:val="00B724FA"/>
    <w:rsid w:val="00B73B42"/>
    <w:rsid w:val="00B75179"/>
    <w:rsid w:val="00B7727D"/>
    <w:rsid w:val="00B82E5E"/>
    <w:rsid w:val="00B83A34"/>
    <w:rsid w:val="00B850D4"/>
    <w:rsid w:val="00B85D9E"/>
    <w:rsid w:val="00B8601F"/>
    <w:rsid w:val="00B87F77"/>
    <w:rsid w:val="00B90319"/>
    <w:rsid w:val="00B90DC2"/>
    <w:rsid w:val="00B913BB"/>
    <w:rsid w:val="00B915A3"/>
    <w:rsid w:val="00B9213C"/>
    <w:rsid w:val="00B92247"/>
    <w:rsid w:val="00B9328B"/>
    <w:rsid w:val="00B940D0"/>
    <w:rsid w:val="00B960E1"/>
    <w:rsid w:val="00B96548"/>
    <w:rsid w:val="00B97461"/>
    <w:rsid w:val="00BA2D77"/>
    <w:rsid w:val="00BA3F93"/>
    <w:rsid w:val="00BA477E"/>
    <w:rsid w:val="00BA4780"/>
    <w:rsid w:val="00BA6729"/>
    <w:rsid w:val="00BB178E"/>
    <w:rsid w:val="00BB203F"/>
    <w:rsid w:val="00BB4B2B"/>
    <w:rsid w:val="00BB5D65"/>
    <w:rsid w:val="00BB5F4F"/>
    <w:rsid w:val="00BB6479"/>
    <w:rsid w:val="00BB6A95"/>
    <w:rsid w:val="00BB6B02"/>
    <w:rsid w:val="00BB79BF"/>
    <w:rsid w:val="00BC0109"/>
    <w:rsid w:val="00BC092B"/>
    <w:rsid w:val="00BC0B46"/>
    <w:rsid w:val="00BC0DF1"/>
    <w:rsid w:val="00BC19BC"/>
    <w:rsid w:val="00BC2743"/>
    <w:rsid w:val="00BC329B"/>
    <w:rsid w:val="00BC3CBE"/>
    <w:rsid w:val="00BC4FDD"/>
    <w:rsid w:val="00BC5A30"/>
    <w:rsid w:val="00BC5BBA"/>
    <w:rsid w:val="00BC5F65"/>
    <w:rsid w:val="00BC6056"/>
    <w:rsid w:val="00BC79DC"/>
    <w:rsid w:val="00BC7C2E"/>
    <w:rsid w:val="00BD063E"/>
    <w:rsid w:val="00BD28F7"/>
    <w:rsid w:val="00BD2B60"/>
    <w:rsid w:val="00BD34CE"/>
    <w:rsid w:val="00BD478A"/>
    <w:rsid w:val="00BD584E"/>
    <w:rsid w:val="00BD5B60"/>
    <w:rsid w:val="00BD6491"/>
    <w:rsid w:val="00BD6A8E"/>
    <w:rsid w:val="00BD6C86"/>
    <w:rsid w:val="00BD6F2E"/>
    <w:rsid w:val="00BD7224"/>
    <w:rsid w:val="00BD7BF7"/>
    <w:rsid w:val="00BE0BB4"/>
    <w:rsid w:val="00BE29D5"/>
    <w:rsid w:val="00BE7BCA"/>
    <w:rsid w:val="00BE7CEA"/>
    <w:rsid w:val="00BF0D99"/>
    <w:rsid w:val="00BF2CF5"/>
    <w:rsid w:val="00BF3052"/>
    <w:rsid w:val="00BF3B4C"/>
    <w:rsid w:val="00BF3DEA"/>
    <w:rsid w:val="00BF41A7"/>
    <w:rsid w:val="00BF473B"/>
    <w:rsid w:val="00BF4BEA"/>
    <w:rsid w:val="00BF4ED5"/>
    <w:rsid w:val="00BF6E9B"/>
    <w:rsid w:val="00BF7E0A"/>
    <w:rsid w:val="00C004BE"/>
    <w:rsid w:val="00C005C7"/>
    <w:rsid w:val="00C008C8"/>
    <w:rsid w:val="00C048F2"/>
    <w:rsid w:val="00C04C90"/>
    <w:rsid w:val="00C11131"/>
    <w:rsid w:val="00C12006"/>
    <w:rsid w:val="00C127AF"/>
    <w:rsid w:val="00C13473"/>
    <w:rsid w:val="00C1415A"/>
    <w:rsid w:val="00C141FA"/>
    <w:rsid w:val="00C1499F"/>
    <w:rsid w:val="00C15C8C"/>
    <w:rsid w:val="00C16CF9"/>
    <w:rsid w:val="00C17271"/>
    <w:rsid w:val="00C2004B"/>
    <w:rsid w:val="00C20822"/>
    <w:rsid w:val="00C20A71"/>
    <w:rsid w:val="00C223B2"/>
    <w:rsid w:val="00C22467"/>
    <w:rsid w:val="00C22D51"/>
    <w:rsid w:val="00C23978"/>
    <w:rsid w:val="00C244D1"/>
    <w:rsid w:val="00C245AF"/>
    <w:rsid w:val="00C2618C"/>
    <w:rsid w:val="00C26E05"/>
    <w:rsid w:val="00C27207"/>
    <w:rsid w:val="00C27F4F"/>
    <w:rsid w:val="00C30C32"/>
    <w:rsid w:val="00C3103E"/>
    <w:rsid w:val="00C32D11"/>
    <w:rsid w:val="00C35310"/>
    <w:rsid w:val="00C356BB"/>
    <w:rsid w:val="00C40403"/>
    <w:rsid w:val="00C406DF"/>
    <w:rsid w:val="00C4301E"/>
    <w:rsid w:val="00C43950"/>
    <w:rsid w:val="00C43BF9"/>
    <w:rsid w:val="00C443BF"/>
    <w:rsid w:val="00C44A67"/>
    <w:rsid w:val="00C45656"/>
    <w:rsid w:val="00C46F71"/>
    <w:rsid w:val="00C47703"/>
    <w:rsid w:val="00C50B23"/>
    <w:rsid w:val="00C50BF9"/>
    <w:rsid w:val="00C50C6D"/>
    <w:rsid w:val="00C51120"/>
    <w:rsid w:val="00C52B35"/>
    <w:rsid w:val="00C52CA4"/>
    <w:rsid w:val="00C53264"/>
    <w:rsid w:val="00C53320"/>
    <w:rsid w:val="00C54798"/>
    <w:rsid w:val="00C55038"/>
    <w:rsid w:val="00C60178"/>
    <w:rsid w:val="00C602BA"/>
    <w:rsid w:val="00C60E77"/>
    <w:rsid w:val="00C6133F"/>
    <w:rsid w:val="00C613E9"/>
    <w:rsid w:val="00C616A2"/>
    <w:rsid w:val="00C61926"/>
    <w:rsid w:val="00C62242"/>
    <w:rsid w:val="00C62D5D"/>
    <w:rsid w:val="00C635D2"/>
    <w:rsid w:val="00C63684"/>
    <w:rsid w:val="00C6378B"/>
    <w:rsid w:val="00C63E26"/>
    <w:rsid w:val="00C649EC"/>
    <w:rsid w:val="00C65252"/>
    <w:rsid w:val="00C714A2"/>
    <w:rsid w:val="00C72E44"/>
    <w:rsid w:val="00C7326A"/>
    <w:rsid w:val="00C73597"/>
    <w:rsid w:val="00C76D52"/>
    <w:rsid w:val="00C802E6"/>
    <w:rsid w:val="00C81470"/>
    <w:rsid w:val="00C81A1C"/>
    <w:rsid w:val="00C82D44"/>
    <w:rsid w:val="00C83233"/>
    <w:rsid w:val="00C83709"/>
    <w:rsid w:val="00C83B49"/>
    <w:rsid w:val="00C85A0C"/>
    <w:rsid w:val="00C90716"/>
    <w:rsid w:val="00C91931"/>
    <w:rsid w:val="00C920AF"/>
    <w:rsid w:val="00C92582"/>
    <w:rsid w:val="00C92832"/>
    <w:rsid w:val="00C92909"/>
    <w:rsid w:val="00C9334C"/>
    <w:rsid w:val="00C93E03"/>
    <w:rsid w:val="00C949D4"/>
    <w:rsid w:val="00C94F22"/>
    <w:rsid w:val="00C95225"/>
    <w:rsid w:val="00C95A37"/>
    <w:rsid w:val="00C95BB7"/>
    <w:rsid w:val="00C96CD3"/>
    <w:rsid w:val="00C970F3"/>
    <w:rsid w:val="00CA1096"/>
    <w:rsid w:val="00CA19F9"/>
    <w:rsid w:val="00CA35ED"/>
    <w:rsid w:val="00CA47F3"/>
    <w:rsid w:val="00CA53F8"/>
    <w:rsid w:val="00CA57F7"/>
    <w:rsid w:val="00CA6470"/>
    <w:rsid w:val="00CA65BF"/>
    <w:rsid w:val="00CB32D3"/>
    <w:rsid w:val="00CB4070"/>
    <w:rsid w:val="00CB49D2"/>
    <w:rsid w:val="00CB5507"/>
    <w:rsid w:val="00CB5780"/>
    <w:rsid w:val="00CB70AD"/>
    <w:rsid w:val="00CC0024"/>
    <w:rsid w:val="00CC0763"/>
    <w:rsid w:val="00CC1117"/>
    <w:rsid w:val="00CC138D"/>
    <w:rsid w:val="00CC1A78"/>
    <w:rsid w:val="00CC20A1"/>
    <w:rsid w:val="00CC21F8"/>
    <w:rsid w:val="00CC220B"/>
    <w:rsid w:val="00CC4328"/>
    <w:rsid w:val="00CC57AD"/>
    <w:rsid w:val="00CC59E4"/>
    <w:rsid w:val="00CC712F"/>
    <w:rsid w:val="00CD060E"/>
    <w:rsid w:val="00CD0FB4"/>
    <w:rsid w:val="00CD2BB5"/>
    <w:rsid w:val="00CD3268"/>
    <w:rsid w:val="00CD61E6"/>
    <w:rsid w:val="00CD785E"/>
    <w:rsid w:val="00CD7F40"/>
    <w:rsid w:val="00CE01C0"/>
    <w:rsid w:val="00CE07EF"/>
    <w:rsid w:val="00CE0A0A"/>
    <w:rsid w:val="00CE237D"/>
    <w:rsid w:val="00CE642A"/>
    <w:rsid w:val="00CE7189"/>
    <w:rsid w:val="00CE7388"/>
    <w:rsid w:val="00CE7B4F"/>
    <w:rsid w:val="00CE7E51"/>
    <w:rsid w:val="00CF0EE9"/>
    <w:rsid w:val="00CF15C8"/>
    <w:rsid w:val="00CF384F"/>
    <w:rsid w:val="00CF4694"/>
    <w:rsid w:val="00CF5883"/>
    <w:rsid w:val="00CF5C12"/>
    <w:rsid w:val="00CF63A5"/>
    <w:rsid w:val="00CF65D7"/>
    <w:rsid w:val="00CF7A2C"/>
    <w:rsid w:val="00D000A8"/>
    <w:rsid w:val="00D00AF3"/>
    <w:rsid w:val="00D014FC"/>
    <w:rsid w:val="00D031F7"/>
    <w:rsid w:val="00D03AE3"/>
    <w:rsid w:val="00D0429E"/>
    <w:rsid w:val="00D04D63"/>
    <w:rsid w:val="00D06484"/>
    <w:rsid w:val="00D06C59"/>
    <w:rsid w:val="00D076E9"/>
    <w:rsid w:val="00D07EB1"/>
    <w:rsid w:val="00D108E5"/>
    <w:rsid w:val="00D10B06"/>
    <w:rsid w:val="00D117FA"/>
    <w:rsid w:val="00D11842"/>
    <w:rsid w:val="00D12175"/>
    <w:rsid w:val="00D132C4"/>
    <w:rsid w:val="00D1360C"/>
    <w:rsid w:val="00D1471F"/>
    <w:rsid w:val="00D1531E"/>
    <w:rsid w:val="00D153CD"/>
    <w:rsid w:val="00D1722A"/>
    <w:rsid w:val="00D17466"/>
    <w:rsid w:val="00D1776A"/>
    <w:rsid w:val="00D179D3"/>
    <w:rsid w:val="00D22F0F"/>
    <w:rsid w:val="00D241D5"/>
    <w:rsid w:val="00D30255"/>
    <w:rsid w:val="00D3332B"/>
    <w:rsid w:val="00D3416B"/>
    <w:rsid w:val="00D35699"/>
    <w:rsid w:val="00D36F76"/>
    <w:rsid w:val="00D41984"/>
    <w:rsid w:val="00D42063"/>
    <w:rsid w:val="00D42ADB"/>
    <w:rsid w:val="00D43079"/>
    <w:rsid w:val="00D433BB"/>
    <w:rsid w:val="00D44B26"/>
    <w:rsid w:val="00D451DC"/>
    <w:rsid w:val="00D469F6"/>
    <w:rsid w:val="00D4747B"/>
    <w:rsid w:val="00D47E32"/>
    <w:rsid w:val="00D517B6"/>
    <w:rsid w:val="00D533B7"/>
    <w:rsid w:val="00D5508A"/>
    <w:rsid w:val="00D5723F"/>
    <w:rsid w:val="00D57B66"/>
    <w:rsid w:val="00D601DF"/>
    <w:rsid w:val="00D61C5B"/>
    <w:rsid w:val="00D6243F"/>
    <w:rsid w:val="00D62B3C"/>
    <w:rsid w:val="00D67C97"/>
    <w:rsid w:val="00D67F54"/>
    <w:rsid w:val="00D7098F"/>
    <w:rsid w:val="00D742C1"/>
    <w:rsid w:val="00D76744"/>
    <w:rsid w:val="00D770E0"/>
    <w:rsid w:val="00D775BC"/>
    <w:rsid w:val="00D806EA"/>
    <w:rsid w:val="00D80DDF"/>
    <w:rsid w:val="00D80E8A"/>
    <w:rsid w:val="00D815C7"/>
    <w:rsid w:val="00D81AF4"/>
    <w:rsid w:val="00D826AD"/>
    <w:rsid w:val="00D840BE"/>
    <w:rsid w:val="00D84582"/>
    <w:rsid w:val="00D84B6E"/>
    <w:rsid w:val="00D8754D"/>
    <w:rsid w:val="00D9091E"/>
    <w:rsid w:val="00D90DD9"/>
    <w:rsid w:val="00D918DB"/>
    <w:rsid w:val="00D91F1F"/>
    <w:rsid w:val="00D9386D"/>
    <w:rsid w:val="00D9544F"/>
    <w:rsid w:val="00D96419"/>
    <w:rsid w:val="00D96A96"/>
    <w:rsid w:val="00D96DFC"/>
    <w:rsid w:val="00D976C7"/>
    <w:rsid w:val="00D979CA"/>
    <w:rsid w:val="00DA0037"/>
    <w:rsid w:val="00DA36B3"/>
    <w:rsid w:val="00DA4E3E"/>
    <w:rsid w:val="00DA5794"/>
    <w:rsid w:val="00DA71E0"/>
    <w:rsid w:val="00DA7600"/>
    <w:rsid w:val="00DA77DB"/>
    <w:rsid w:val="00DB1BC2"/>
    <w:rsid w:val="00DB20A7"/>
    <w:rsid w:val="00DB495F"/>
    <w:rsid w:val="00DB606A"/>
    <w:rsid w:val="00DB7F24"/>
    <w:rsid w:val="00DC063C"/>
    <w:rsid w:val="00DC0880"/>
    <w:rsid w:val="00DC1133"/>
    <w:rsid w:val="00DC16F1"/>
    <w:rsid w:val="00DC2813"/>
    <w:rsid w:val="00DC2FE6"/>
    <w:rsid w:val="00DC39EF"/>
    <w:rsid w:val="00DC3B21"/>
    <w:rsid w:val="00DC45A0"/>
    <w:rsid w:val="00DC645D"/>
    <w:rsid w:val="00DC66F7"/>
    <w:rsid w:val="00DD00C0"/>
    <w:rsid w:val="00DD0254"/>
    <w:rsid w:val="00DD05A5"/>
    <w:rsid w:val="00DD1565"/>
    <w:rsid w:val="00DD22C1"/>
    <w:rsid w:val="00DD3FA8"/>
    <w:rsid w:val="00DD443F"/>
    <w:rsid w:val="00DD46FE"/>
    <w:rsid w:val="00DD4BF0"/>
    <w:rsid w:val="00DD5FDD"/>
    <w:rsid w:val="00DD62D0"/>
    <w:rsid w:val="00DD7372"/>
    <w:rsid w:val="00DE11AF"/>
    <w:rsid w:val="00DE1312"/>
    <w:rsid w:val="00DE2701"/>
    <w:rsid w:val="00DE273B"/>
    <w:rsid w:val="00DE31AC"/>
    <w:rsid w:val="00DE6EF5"/>
    <w:rsid w:val="00DF008A"/>
    <w:rsid w:val="00DF0DE5"/>
    <w:rsid w:val="00DF600E"/>
    <w:rsid w:val="00DF658E"/>
    <w:rsid w:val="00DF6D2A"/>
    <w:rsid w:val="00DF76D6"/>
    <w:rsid w:val="00DF777C"/>
    <w:rsid w:val="00DF799F"/>
    <w:rsid w:val="00E00994"/>
    <w:rsid w:val="00E012DE"/>
    <w:rsid w:val="00E01D17"/>
    <w:rsid w:val="00E02112"/>
    <w:rsid w:val="00E04BFD"/>
    <w:rsid w:val="00E05E8C"/>
    <w:rsid w:val="00E078F8"/>
    <w:rsid w:val="00E10474"/>
    <w:rsid w:val="00E1084B"/>
    <w:rsid w:val="00E11198"/>
    <w:rsid w:val="00E11565"/>
    <w:rsid w:val="00E12C28"/>
    <w:rsid w:val="00E1309D"/>
    <w:rsid w:val="00E13C3D"/>
    <w:rsid w:val="00E1440C"/>
    <w:rsid w:val="00E1566D"/>
    <w:rsid w:val="00E200E7"/>
    <w:rsid w:val="00E203F2"/>
    <w:rsid w:val="00E211B3"/>
    <w:rsid w:val="00E22463"/>
    <w:rsid w:val="00E225EF"/>
    <w:rsid w:val="00E23053"/>
    <w:rsid w:val="00E2410E"/>
    <w:rsid w:val="00E243BD"/>
    <w:rsid w:val="00E247FD"/>
    <w:rsid w:val="00E27291"/>
    <w:rsid w:val="00E27F6E"/>
    <w:rsid w:val="00E30112"/>
    <w:rsid w:val="00E307A4"/>
    <w:rsid w:val="00E30D9A"/>
    <w:rsid w:val="00E31D6E"/>
    <w:rsid w:val="00E31E47"/>
    <w:rsid w:val="00E31E86"/>
    <w:rsid w:val="00E3360A"/>
    <w:rsid w:val="00E337C5"/>
    <w:rsid w:val="00E34D67"/>
    <w:rsid w:val="00E35DE2"/>
    <w:rsid w:val="00E3666F"/>
    <w:rsid w:val="00E37E24"/>
    <w:rsid w:val="00E4026A"/>
    <w:rsid w:val="00E42F5E"/>
    <w:rsid w:val="00E43FCD"/>
    <w:rsid w:val="00E447A5"/>
    <w:rsid w:val="00E4498A"/>
    <w:rsid w:val="00E44D1D"/>
    <w:rsid w:val="00E4555E"/>
    <w:rsid w:val="00E463A9"/>
    <w:rsid w:val="00E476F7"/>
    <w:rsid w:val="00E516C0"/>
    <w:rsid w:val="00E51D96"/>
    <w:rsid w:val="00E54CF1"/>
    <w:rsid w:val="00E55D6E"/>
    <w:rsid w:val="00E561D6"/>
    <w:rsid w:val="00E56A8E"/>
    <w:rsid w:val="00E56D7B"/>
    <w:rsid w:val="00E60A18"/>
    <w:rsid w:val="00E60A7A"/>
    <w:rsid w:val="00E60FD5"/>
    <w:rsid w:val="00E61D44"/>
    <w:rsid w:val="00E61FF9"/>
    <w:rsid w:val="00E624AF"/>
    <w:rsid w:val="00E63199"/>
    <w:rsid w:val="00E635AE"/>
    <w:rsid w:val="00E64246"/>
    <w:rsid w:val="00E64397"/>
    <w:rsid w:val="00E704A7"/>
    <w:rsid w:val="00E70F4E"/>
    <w:rsid w:val="00E71C0E"/>
    <w:rsid w:val="00E71F3A"/>
    <w:rsid w:val="00E727C9"/>
    <w:rsid w:val="00E73788"/>
    <w:rsid w:val="00E75552"/>
    <w:rsid w:val="00E775DB"/>
    <w:rsid w:val="00E800AC"/>
    <w:rsid w:val="00E80356"/>
    <w:rsid w:val="00E829B9"/>
    <w:rsid w:val="00E82CFE"/>
    <w:rsid w:val="00E833F2"/>
    <w:rsid w:val="00E83D89"/>
    <w:rsid w:val="00E84A2A"/>
    <w:rsid w:val="00E84EBC"/>
    <w:rsid w:val="00E866B2"/>
    <w:rsid w:val="00E87478"/>
    <w:rsid w:val="00E9067A"/>
    <w:rsid w:val="00E90F7E"/>
    <w:rsid w:val="00E91099"/>
    <w:rsid w:val="00E911C4"/>
    <w:rsid w:val="00E92357"/>
    <w:rsid w:val="00E92714"/>
    <w:rsid w:val="00E9271F"/>
    <w:rsid w:val="00E92925"/>
    <w:rsid w:val="00E9335E"/>
    <w:rsid w:val="00E9338A"/>
    <w:rsid w:val="00E93B0F"/>
    <w:rsid w:val="00E943DB"/>
    <w:rsid w:val="00E945FE"/>
    <w:rsid w:val="00E95E92"/>
    <w:rsid w:val="00E96AAD"/>
    <w:rsid w:val="00E96D7C"/>
    <w:rsid w:val="00E9777B"/>
    <w:rsid w:val="00E97B7E"/>
    <w:rsid w:val="00EA0C6E"/>
    <w:rsid w:val="00EA1C98"/>
    <w:rsid w:val="00EA214F"/>
    <w:rsid w:val="00EA3585"/>
    <w:rsid w:val="00EA397D"/>
    <w:rsid w:val="00EA40A9"/>
    <w:rsid w:val="00EA5DBC"/>
    <w:rsid w:val="00EB1448"/>
    <w:rsid w:val="00EB16D9"/>
    <w:rsid w:val="00EB2BB9"/>
    <w:rsid w:val="00EB3BC5"/>
    <w:rsid w:val="00EB3D17"/>
    <w:rsid w:val="00EB3F59"/>
    <w:rsid w:val="00EB4BAF"/>
    <w:rsid w:val="00EB523F"/>
    <w:rsid w:val="00EB526C"/>
    <w:rsid w:val="00EB6731"/>
    <w:rsid w:val="00EB69BD"/>
    <w:rsid w:val="00EB6FE0"/>
    <w:rsid w:val="00EB7042"/>
    <w:rsid w:val="00EB7CDB"/>
    <w:rsid w:val="00EC009F"/>
    <w:rsid w:val="00EC13C9"/>
    <w:rsid w:val="00EC264C"/>
    <w:rsid w:val="00EC2C14"/>
    <w:rsid w:val="00EC3158"/>
    <w:rsid w:val="00EC3BF1"/>
    <w:rsid w:val="00EC5611"/>
    <w:rsid w:val="00EC640E"/>
    <w:rsid w:val="00EC772E"/>
    <w:rsid w:val="00EC7B3F"/>
    <w:rsid w:val="00ED04DB"/>
    <w:rsid w:val="00ED06A1"/>
    <w:rsid w:val="00ED0B6D"/>
    <w:rsid w:val="00ED1814"/>
    <w:rsid w:val="00ED41A7"/>
    <w:rsid w:val="00ED4461"/>
    <w:rsid w:val="00ED47E1"/>
    <w:rsid w:val="00ED49CD"/>
    <w:rsid w:val="00ED5630"/>
    <w:rsid w:val="00ED5BC3"/>
    <w:rsid w:val="00ED630A"/>
    <w:rsid w:val="00ED6447"/>
    <w:rsid w:val="00ED6B45"/>
    <w:rsid w:val="00ED76C8"/>
    <w:rsid w:val="00ED776E"/>
    <w:rsid w:val="00EE04F6"/>
    <w:rsid w:val="00EE0E4E"/>
    <w:rsid w:val="00EE2A1F"/>
    <w:rsid w:val="00EE2DE7"/>
    <w:rsid w:val="00EE33AB"/>
    <w:rsid w:val="00EE3B89"/>
    <w:rsid w:val="00EE6549"/>
    <w:rsid w:val="00EE6A4C"/>
    <w:rsid w:val="00EE6C34"/>
    <w:rsid w:val="00EE7725"/>
    <w:rsid w:val="00EF0402"/>
    <w:rsid w:val="00EF04E6"/>
    <w:rsid w:val="00EF0625"/>
    <w:rsid w:val="00EF1222"/>
    <w:rsid w:val="00EF2C81"/>
    <w:rsid w:val="00EF3BB5"/>
    <w:rsid w:val="00EF3BE9"/>
    <w:rsid w:val="00EF4036"/>
    <w:rsid w:val="00EF56B8"/>
    <w:rsid w:val="00EF6292"/>
    <w:rsid w:val="00EF6F5A"/>
    <w:rsid w:val="00F00292"/>
    <w:rsid w:val="00F0083A"/>
    <w:rsid w:val="00F00B94"/>
    <w:rsid w:val="00F042FA"/>
    <w:rsid w:val="00F055FC"/>
    <w:rsid w:val="00F05B42"/>
    <w:rsid w:val="00F05DF4"/>
    <w:rsid w:val="00F064B6"/>
    <w:rsid w:val="00F07E12"/>
    <w:rsid w:val="00F119E3"/>
    <w:rsid w:val="00F12766"/>
    <w:rsid w:val="00F12D02"/>
    <w:rsid w:val="00F131E2"/>
    <w:rsid w:val="00F15337"/>
    <w:rsid w:val="00F16058"/>
    <w:rsid w:val="00F17C6E"/>
    <w:rsid w:val="00F205EC"/>
    <w:rsid w:val="00F20BED"/>
    <w:rsid w:val="00F219EF"/>
    <w:rsid w:val="00F21A9A"/>
    <w:rsid w:val="00F22197"/>
    <w:rsid w:val="00F2316F"/>
    <w:rsid w:val="00F23638"/>
    <w:rsid w:val="00F249D9"/>
    <w:rsid w:val="00F254A6"/>
    <w:rsid w:val="00F26123"/>
    <w:rsid w:val="00F2613E"/>
    <w:rsid w:val="00F30C59"/>
    <w:rsid w:val="00F30D59"/>
    <w:rsid w:val="00F31111"/>
    <w:rsid w:val="00F312DD"/>
    <w:rsid w:val="00F3186E"/>
    <w:rsid w:val="00F346F4"/>
    <w:rsid w:val="00F349C7"/>
    <w:rsid w:val="00F34D3F"/>
    <w:rsid w:val="00F36EC0"/>
    <w:rsid w:val="00F41922"/>
    <w:rsid w:val="00F43710"/>
    <w:rsid w:val="00F440AB"/>
    <w:rsid w:val="00F455BE"/>
    <w:rsid w:val="00F50BD0"/>
    <w:rsid w:val="00F52081"/>
    <w:rsid w:val="00F54E27"/>
    <w:rsid w:val="00F55573"/>
    <w:rsid w:val="00F55F88"/>
    <w:rsid w:val="00F55FEC"/>
    <w:rsid w:val="00F605D7"/>
    <w:rsid w:val="00F6131D"/>
    <w:rsid w:val="00F62A74"/>
    <w:rsid w:val="00F62C40"/>
    <w:rsid w:val="00F647D4"/>
    <w:rsid w:val="00F6540D"/>
    <w:rsid w:val="00F65885"/>
    <w:rsid w:val="00F65B8A"/>
    <w:rsid w:val="00F6655F"/>
    <w:rsid w:val="00F66F58"/>
    <w:rsid w:val="00F67B7D"/>
    <w:rsid w:val="00F70C0E"/>
    <w:rsid w:val="00F7120E"/>
    <w:rsid w:val="00F71D3B"/>
    <w:rsid w:val="00F71DF6"/>
    <w:rsid w:val="00F720BD"/>
    <w:rsid w:val="00F72EAE"/>
    <w:rsid w:val="00F7476E"/>
    <w:rsid w:val="00F765F4"/>
    <w:rsid w:val="00F80C01"/>
    <w:rsid w:val="00F83C60"/>
    <w:rsid w:val="00F84045"/>
    <w:rsid w:val="00F84BCD"/>
    <w:rsid w:val="00F85C29"/>
    <w:rsid w:val="00F86576"/>
    <w:rsid w:val="00F86CBC"/>
    <w:rsid w:val="00F8785B"/>
    <w:rsid w:val="00F904F2"/>
    <w:rsid w:val="00F9143F"/>
    <w:rsid w:val="00F9176D"/>
    <w:rsid w:val="00F93521"/>
    <w:rsid w:val="00F93D5F"/>
    <w:rsid w:val="00F950DB"/>
    <w:rsid w:val="00F95642"/>
    <w:rsid w:val="00F96955"/>
    <w:rsid w:val="00F97361"/>
    <w:rsid w:val="00F97804"/>
    <w:rsid w:val="00F978DA"/>
    <w:rsid w:val="00F97ED7"/>
    <w:rsid w:val="00FA236D"/>
    <w:rsid w:val="00FA2799"/>
    <w:rsid w:val="00FA3349"/>
    <w:rsid w:val="00FA38B3"/>
    <w:rsid w:val="00FA4894"/>
    <w:rsid w:val="00FA5394"/>
    <w:rsid w:val="00FA6E01"/>
    <w:rsid w:val="00FA6E1D"/>
    <w:rsid w:val="00FB0073"/>
    <w:rsid w:val="00FB196C"/>
    <w:rsid w:val="00FB282E"/>
    <w:rsid w:val="00FB29AC"/>
    <w:rsid w:val="00FB33A5"/>
    <w:rsid w:val="00FB424E"/>
    <w:rsid w:val="00FB4CA1"/>
    <w:rsid w:val="00FB614C"/>
    <w:rsid w:val="00FB6961"/>
    <w:rsid w:val="00FB738F"/>
    <w:rsid w:val="00FB7DD8"/>
    <w:rsid w:val="00FC0374"/>
    <w:rsid w:val="00FC2767"/>
    <w:rsid w:val="00FC2F13"/>
    <w:rsid w:val="00FC46DA"/>
    <w:rsid w:val="00FC55A6"/>
    <w:rsid w:val="00FC6458"/>
    <w:rsid w:val="00FC65F2"/>
    <w:rsid w:val="00FC7098"/>
    <w:rsid w:val="00FC77DF"/>
    <w:rsid w:val="00FC792E"/>
    <w:rsid w:val="00FD0778"/>
    <w:rsid w:val="00FD0797"/>
    <w:rsid w:val="00FD0854"/>
    <w:rsid w:val="00FD19BC"/>
    <w:rsid w:val="00FD283F"/>
    <w:rsid w:val="00FD413E"/>
    <w:rsid w:val="00FD4B1D"/>
    <w:rsid w:val="00FD597D"/>
    <w:rsid w:val="00FD6F6F"/>
    <w:rsid w:val="00FE0253"/>
    <w:rsid w:val="00FE0551"/>
    <w:rsid w:val="00FE0E65"/>
    <w:rsid w:val="00FF0578"/>
    <w:rsid w:val="00FF0D41"/>
    <w:rsid w:val="00FF37EE"/>
    <w:rsid w:val="00FF50ED"/>
    <w:rsid w:val="00FF51C3"/>
    <w:rsid w:val="00FF5D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522AC"/>
  <w15:chartTrackingRefBased/>
  <w15:docId w15:val="{612822F1-A3B4-4883-8DB4-42A531121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iro" w:eastAsiaTheme="minorHAnsi" w:hAnsi="Cairo" w:cstheme="minorBidi"/>
        <w:color w:val="2E2E38"/>
        <w:sz w:val="22"/>
        <w:szCs w:val="22"/>
        <w:lang w:val="pt-BR"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1E6"/>
    <w:pPr>
      <w:spacing w:line="276" w:lineRule="auto"/>
      <w:jc w:val="both"/>
    </w:pPr>
    <w:rPr>
      <w:rFonts w:ascii="Arial" w:hAnsi="Arial" w:cs="Arial"/>
      <w:color w:val="auto"/>
    </w:rPr>
  </w:style>
  <w:style w:type="paragraph" w:styleId="Ttulo1">
    <w:name w:val="heading 1"/>
    <w:basedOn w:val="PargrafodaLista"/>
    <w:next w:val="Normal"/>
    <w:link w:val="Ttulo1Char"/>
    <w:uiPriority w:val="9"/>
    <w:qFormat/>
    <w:rsid w:val="00140AE7"/>
    <w:pPr>
      <w:numPr>
        <w:numId w:val="1"/>
      </w:numPr>
      <w:outlineLvl w:val="0"/>
    </w:pPr>
    <w:rPr>
      <w:b/>
      <w:bCs/>
    </w:rPr>
  </w:style>
  <w:style w:type="paragraph" w:styleId="Ttulo2">
    <w:name w:val="heading 2"/>
    <w:basedOn w:val="PargrafodaLista"/>
    <w:next w:val="Normal"/>
    <w:link w:val="Ttulo2Char"/>
    <w:uiPriority w:val="9"/>
    <w:unhideWhenUsed/>
    <w:qFormat/>
    <w:rsid w:val="00F72EAE"/>
    <w:pPr>
      <w:numPr>
        <w:ilvl w:val="1"/>
        <w:numId w:val="1"/>
      </w:numPr>
      <w:outlineLvl w:val="1"/>
    </w:pPr>
    <w:rPr>
      <w:b/>
    </w:rPr>
  </w:style>
  <w:style w:type="paragraph" w:styleId="Ttulo3">
    <w:name w:val="heading 3"/>
    <w:basedOn w:val="PargrafodaLista"/>
    <w:next w:val="Normal"/>
    <w:link w:val="Ttulo3Char"/>
    <w:uiPriority w:val="9"/>
    <w:unhideWhenUsed/>
    <w:qFormat/>
    <w:rsid w:val="00F72EAE"/>
    <w:pPr>
      <w:numPr>
        <w:ilvl w:val="2"/>
        <w:numId w:val="1"/>
      </w:numPr>
      <w:outlineLvl w:val="2"/>
    </w:pPr>
    <w:rPr>
      <w:b/>
      <w:bCs/>
      <w:i/>
    </w:rPr>
  </w:style>
  <w:style w:type="paragraph" w:styleId="Ttulo4">
    <w:name w:val="heading 4"/>
    <w:basedOn w:val="PargrafodaLista"/>
    <w:next w:val="Normal"/>
    <w:link w:val="Ttulo4Char"/>
    <w:uiPriority w:val="9"/>
    <w:unhideWhenUsed/>
    <w:qFormat/>
    <w:rsid w:val="00567573"/>
    <w:pPr>
      <w:numPr>
        <w:ilvl w:val="3"/>
        <w:numId w:val="1"/>
      </w:numPr>
      <w:ind w:left="851" w:hanging="851"/>
      <w:outlineLvl w:val="3"/>
    </w:pPr>
    <w:rPr>
      <w:b/>
      <w:i/>
      <w:u w:val="single"/>
    </w:rPr>
  </w:style>
  <w:style w:type="paragraph" w:styleId="Ttulo5">
    <w:name w:val="heading 5"/>
    <w:basedOn w:val="PargrafodaLista"/>
    <w:next w:val="Normal"/>
    <w:link w:val="Ttulo5Char"/>
    <w:uiPriority w:val="9"/>
    <w:unhideWhenUsed/>
    <w:qFormat/>
    <w:rsid w:val="00425490"/>
    <w:pPr>
      <w:numPr>
        <w:ilvl w:val="4"/>
        <w:numId w:val="1"/>
      </w:numPr>
      <w:ind w:left="340" w:hanging="340"/>
      <w:outlineLvl w:val="4"/>
    </w:pPr>
    <w:rPr>
      <w:i/>
      <w:iCs/>
    </w:rPr>
  </w:style>
  <w:style w:type="paragraph" w:styleId="Ttulo7">
    <w:name w:val="heading 7"/>
    <w:basedOn w:val="Normal"/>
    <w:next w:val="Normal"/>
    <w:link w:val="Ttulo7Char"/>
    <w:uiPriority w:val="9"/>
    <w:semiHidden/>
    <w:unhideWhenUsed/>
    <w:qFormat/>
    <w:rsid w:val="0053770F"/>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A2C97"/>
    <w:pPr>
      <w:tabs>
        <w:tab w:val="center" w:pos="4252"/>
        <w:tab w:val="right" w:pos="8504"/>
      </w:tabs>
      <w:spacing w:after="0"/>
    </w:pPr>
  </w:style>
  <w:style w:type="character" w:customStyle="1" w:styleId="CabealhoChar">
    <w:name w:val="Cabeçalho Char"/>
    <w:basedOn w:val="Fontepargpadro"/>
    <w:link w:val="Cabealho"/>
    <w:uiPriority w:val="99"/>
    <w:rsid w:val="003A2C97"/>
  </w:style>
  <w:style w:type="paragraph" w:styleId="Rodap">
    <w:name w:val="footer"/>
    <w:basedOn w:val="Normal"/>
    <w:link w:val="RodapChar"/>
    <w:uiPriority w:val="99"/>
    <w:unhideWhenUsed/>
    <w:rsid w:val="003A2C97"/>
    <w:pPr>
      <w:tabs>
        <w:tab w:val="center" w:pos="4252"/>
        <w:tab w:val="right" w:pos="8504"/>
      </w:tabs>
      <w:spacing w:after="0"/>
    </w:pPr>
  </w:style>
  <w:style w:type="character" w:customStyle="1" w:styleId="RodapChar">
    <w:name w:val="Rodapé Char"/>
    <w:basedOn w:val="Fontepargpadro"/>
    <w:link w:val="Rodap"/>
    <w:uiPriority w:val="99"/>
    <w:rsid w:val="003A2C97"/>
  </w:style>
  <w:style w:type="paragraph" w:styleId="PargrafodaLista">
    <w:name w:val="List Paragraph"/>
    <w:basedOn w:val="Normal"/>
    <w:uiPriority w:val="1"/>
    <w:qFormat/>
    <w:rsid w:val="00237843"/>
    <w:pPr>
      <w:ind w:left="720"/>
    </w:pPr>
  </w:style>
  <w:style w:type="character" w:customStyle="1" w:styleId="Ttulo1Char">
    <w:name w:val="Título 1 Char"/>
    <w:basedOn w:val="Fontepargpadro"/>
    <w:link w:val="Ttulo1"/>
    <w:uiPriority w:val="9"/>
    <w:rsid w:val="00140AE7"/>
    <w:rPr>
      <w:rFonts w:ascii="Arial" w:hAnsi="Arial" w:cs="Arial"/>
      <w:b/>
      <w:bCs/>
      <w:color w:val="auto"/>
    </w:rPr>
  </w:style>
  <w:style w:type="character" w:customStyle="1" w:styleId="Ttulo2Char">
    <w:name w:val="Título 2 Char"/>
    <w:basedOn w:val="Fontepargpadro"/>
    <w:link w:val="Ttulo2"/>
    <w:uiPriority w:val="9"/>
    <w:rsid w:val="00F72EAE"/>
    <w:rPr>
      <w:rFonts w:ascii="Arial" w:hAnsi="Arial" w:cs="Arial"/>
      <w:b/>
      <w:color w:val="auto"/>
    </w:rPr>
  </w:style>
  <w:style w:type="character" w:customStyle="1" w:styleId="Ttulo3Char">
    <w:name w:val="Título 3 Char"/>
    <w:basedOn w:val="Fontepargpadro"/>
    <w:link w:val="Ttulo3"/>
    <w:uiPriority w:val="9"/>
    <w:rsid w:val="00F72EAE"/>
    <w:rPr>
      <w:rFonts w:ascii="Arial" w:hAnsi="Arial" w:cs="Arial"/>
      <w:b/>
      <w:bCs/>
      <w:i/>
      <w:color w:val="auto"/>
    </w:rPr>
  </w:style>
  <w:style w:type="character" w:customStyle="1" w:styleId="Ttulo4Char">
    <w:name w:val="Título 4 Char"/>
    <w:basedOn w:val="Fontepargpadro"/>
    <w:link w:val="Ttulo4"/>
    <w:uiPriority w:val="9"/>
    <w:rsid w:val="00567573"/>
    <w:rPr>
      <w:rFonts w:ascii="Arial" w:hAnsi="Arial" w:cs="Arial"/>
      <w:b/>
      <w:i/>
      <w:color w:val="auto"/>
      <w:u w:val="single"/>
    </w:rPr>
  </w:style>
  <w:style w:type="character" w:customStyle="1" w:styleId="Ttulo5Char">
    <w:name w:val="Título 5 Char"/>
    <w:basedOn w:val="Fontepargpadro"/>
    <w:link w:val="Ttulo5"/>
    <w:uiPriority w:val="9"/>
    <w:rsid w:val="00425490"/>
    <w:rPr>
      <w:rFonts w:ascii="Arial" w:hAnsi="Arial" w:cs="Arial"/>
      <w:i/>
      <w:iCs/>
      <w:color w:val="auto"/>
    </w:rPr>
  </w:style>
  <w:style w:type="paragraph" w:customStyle="1" w:styleId="Figuras">
    <w:name w:val="Figuras"/>
    <w:basedOn w:val="Normal"/>
    <w:link w:val="FigurasChar"/>
    <w:qFormat/>
    <w:rsid w:val="00D22F0F"/>
    <w:pPr>
      <w:spacing w:after="0"/>
      <w:jc w:val="center"/>
    </w:pPr>
    <w:rPr>
      <w:noProof/>
    </w:rPr>
  </w:style>
  <w:style w:type="paragraph" w:styleId="Legenda">
    <w:name w:val="caption"/>
    <w:aliases w:val=" Char Char Char"/>
    <w:basedOn w:val="Normal"/>
    <w:next w:val="Normal"/>
    <w:link w:val="LegendaChar"/>
    <w:unhideWhenUsed/>
    <w:qFormat/>
    <w:rsid w:val="00D22F0F"/>
    <w:pPr>
      <w:spacing w:after="200"/>
    </w:pPr>
    <w:rPr>
      <w:i/>
      <w:iCs/>
      <w:color w:val="44546A" w:themeColor="text2"/>
      <w:sz w:val="18"/>
      <w:szCs w:val="18"/>
    </w:rPr>
  </w:style>
  <w:style w:type="character" w:customStyle="1" w:styleId="FigurasChar">
    <w:name w:val="Figuras Char"/>
    <w:basedOn w:val="Fontepargpadro"/>
    <w:link w:val="Figuras"/>
    <w:rsid w:val="00D22F0F"/>
    <w:rPr>
      <w:noProof/>
    </w:rPr>
  </w:style>
  <w:style w:type="paragraph" w:styleId="Ttulo">
    <w:name w:val="Title"/>
    <w:aliases w:val="Títulos Figuras"/>
    <w:basedOn w:val="Normal"/>
    <w:next w:val="Normal"/>
    <w:link w:val="TtuloChar"/>
    <w:uiPriority w:val="10"/>
    <w:qFormat/>
    <w:rsid w:val="00C52B35"/>
    <w:pPr>
      <w:spacing w:before="240" w:after="0"/>
      <w:jc w:val="center"/>
    </w:pPr>
    <w:rPr>
      <w:rFonts w:eastAsiaTheme="majorEastAsia" w:cs="Cairo"/>
      <w:spacing w:val="-10"/>
      <w:kern w:val="28"/>
    </w:rPr>
  </w:style>
  <w:style w:type="character" w:customStyle="1" w:styleId="TtuloChar">
    <w:name w:val="Título Char"/>
    <w:aliases w:val="Títulos Figuras Char"/>
    <w:basedOn w:val="Fontepargpadro"/>
    <w:link w:val="Ttulo"/>
    <w:uiPriority w:val="10"/>
    <w:rsid w:val="00C52B35"/>
    <w:rPr>
      <w:rFonts w:ascii="Arial" w:eastAsiaTheme="majorEastAsia" w:hAnsi="Arial" w:cs="Cairo"/>
      <w:spacing w:val="-10"/>
      <w:kern w:val="28"/>
    </w:rPr>
  </w:style>
  <w:style w:type="paragraph" w:styleId="Subttulo">
    <w:name w:val="Subtitle"/>
    <w:aliases w:val="Fontes das Figuras"/>
    <w:basedOn w:val="Normal"/>
    <w:next w:val="Normal"/>
    <w:link w:val="SubttuloChar"/>
    <w:uiPriority w:val="11"/>
    <w:qFormat/>
    <w:rsid w:val="00D22F0F"/>
    <w:pPr>
      <w:jc w:val="center"/>
    </w:pPr>
    <w:rPr>
      <w:sz w:val="20"/>
      <w:szCs w:val="20"/>
    </w:rPr>
  </w:style>
  <w:style w:type="character" w:customStyle="1" w:styleId="SubttuloChar">
    <w:name w:val="Subtítulo Char"/>
    <w:aliases w:val="Fontes das Figuras Char"/>
    <w:basedOn w:val="Fontepargpadro"/>
    <w:link w:val="Subttulo"/>
    <w:uiPriority w:val="11"/>
    <w:rsid w:val="00D22F0F"/>
    <w:rPr>
      <w:sz w:val="20"/>
      <w:szCs w:val="20"/>
    </w:rPr>
  </w:style>
  <w:style w:type="table" w:styleId="Tabelacomgrade">
    <w:name w:val="Table Grid"/>
    <w:basedOn w:val="Tabelanormal"/>
    <w:uiPriority w:val="39"/>
    <w:rsid w:val="00F12D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s">
    <w:name w:val="Tabelas"/>
    <w:basedOn w:val="Normal"/>
    <w:link w:val="TabelasChar"/>
    <w:qFormat/>
    <w:rsid w:val="00F12D02"/>
    <w:pPr>
      <w:spacing w:after="0"/>
      <w:jc w:val="center"/>
    </w:pPr>
  </w:style>
  <w:style w:type="character" w:customStyle="1" w:styleId="TabelasChar">
    <w:name w:val="Tabelas Char"/>
    <w:basedOn w:val="TtuloChar"/>
    <w:link w:val="Tabelas"/>
    <w:rsid w:val="00F12D02"/>
    <w:rPr>
      <w:rFonts w:ascii="Arial" w:eastAsiaTheme="majorEastAsia" w:hAnsi="Arial" w:cs="Cairo"/>
      <w:spacing w:val="-10"/>
      <w:kern w:val="28"/>
    </w:rPr>
  </w:style>
  <w:style w:type="paragraph" w:styleId="CabealhodoSumrio">
    <w:name w:val="TOC Heading"/>
    <w:basedOn w:val="Ttulo1"/>
    <w:next w:val="Normal"/>
    <w:uiPriority w:val="39"/>
    <w:unhideWhenUsed/>
    <w:qFormat/>
    <w:rsid w:val="006E790F"/>
    <w:pPr>
      <w:keepNext/>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lang w:eastAsia="pt-BR"/>
    </w:rPr>
  </w:style>
  <w:style w:type="paragraph" w:styleId="Sumrio1">
    <w:name w:val="toc 1"/>
    <w:basedOn w:val="Normal"/>
    <w:next w:val="Normal"/>
    <w:autoRedefine/>
    <w:uiPriority w:val="39"/>
    <w:unhideWhenUsed/>
    <w:rsid w:val="006E790F"/>
    <w:pPr>
      <w:spacing w:after="100"/>
    </w:pPr>
  </w:style>
  <w:style w:type="paragraph" w:styleId="Sumrio2">
    <w:name w:val="toc 2"/>
    <w:basedOn w:val="Normal"/>
    <w:next w:val="Normal"/>
    <w:autoRedefine/>
    <w:uiPriority w:val="39"/>
    <w:unhideWhenUsed/>
    <w:rsid w:val="00E96D7C"/>
    <w:pPr>
      <w:tabs>
        <w:tab w:val="left" w:pos="567"/>
        <w:tab w:val="right" w:leader="dot" w:pos="9004"/>
      </w:tabs>
      <w:spacing w:after="100"/>
    </w:pPr>
  </w:style>
  <w:style w:type="character" w:styleId="Hyperlink">
    <w:name w:val="Hyperlink"/>
    <w:basedOn w:val="Fontepargpadro"/>
    <w:uiPriority w:val="99"/>
    <w:unhideWhenUsed/>
    <w:rsid w:val="006E790F"/>
    <w:rPr>
      <w:color w:val="0563C1" w:themeColor="hyperlink"/>
      <w:u w:val="single"/>
    </w:rPr>
  </w:style>
  <w:style w:type="paragraph" w:styleId="Sumrio3">
    <w:name w:val="toc 3"/>
    <w:basedOn w:val="Normal"/>
    <w:next w:val="Normal"/>
    <w:autoRedefine/>
    <w:uiPriority w:val="39"/>
    <w:unhideWhenUsed/>
    <w:rsid w:val="00154536"/>
    <w:pPr>
      <w:spacing w:after="100"/>
      <w:ind w:left="440"/>
    </w:pPr>
  </w:style>
  <w:style w:type="paragraph" w:styleId="Textodenotaderodap">
    <w:name w:val="footnote text"/>
    <w:basedOn w:val="Normal"/>
    <w:link w:val="TextodenotaderodapChar"/>
    <w:uiPriority w:val="99"/>
    <w:semiHidden/>
    <w:unhideWhenUsed/>
    <w:rsid w:val="00A97E2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97E2B"/>
    <w:rPr>
      <w:sz w:val="20"/>
      <w:szCs w:val="20"/>
    </w:rPr>
  </w:style>
  <w:style w:type="character" w:styleId="Refdenotaderodap">
    <w:name w:val="footnote reference"/>
    <w:basedOn w:val="Fontepargpadro"/>
    <w:uiPriority w:val="99"/>
    <w:semiHidden/>
    <w:unhideWhenUsed/>
    <w:rsid w:val="00A97E2B"/>
    <w:rPr>
      <w:vertAlign w:val="superscript"/>
    </w:rPr>
  </w:style>
  <w:style w:type="character" w:styleId="Nmerodepgina">
    <w:name w:val="page number"/>
    <w:basedOn w:val="Fontepargpadro"/>
    <w:uiPriority w:val="99"/>
    <w:unhideWhenUsed/>
    <w:rsid w:val="003D589E"/>
  </w:style>
  <w:style w:type="character" w:styleId="MenoPendente">
    <w:name w:val="Unresolved Mention"/>
    <w:basedOn w:val="Fontepargpadro"/>
    <w:uiPriority w:val="99"/>
    <w:semiHidden/>
    <w:unhideWhenUsed/>
    <w:rsid w:val="00481450"/>
    <w:rPr>
      <w:color w:val="605E5C"/>
      <w:shd w:val="clear" w:color="auto" w:fill="E1DFDD"/>
    </w:rPr>
  </w:style>
  <w:style w:type="paragraph" w:styleId="Citao">
    <w:name w:val="Quote"/>
    <w:basedOn w:val="Normal"/>
    <w:next w:val="Normal"/>
    <w:link w:val="CitaoChar"/>
    <w:uiPriority w:val="29"/>
    <w:qFormat/>
    <w:rsid w:val="00657FA5"/>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657FA5"/>
    <w:rPr>
      <w:rFonts w:ascii="Arial" w:hAnsi="Arial" w:cs="Arial"/>
      <w:i/>
      <w:iCs/>
      <w:color w:val="404040" w:themeColor="text1" w:themeTint="BF"/>
    </w:rPr>
  </w:style>
  <w:style w:type="table" w:customStyle="1" w:styleId="TableNormal1">
    <w:name w:val="Table Normal1"/>
    <w:uiPriority w:val="2"/>
    <w:semiHidden/>
    <w:unhideWhenUsed/>
    <w:qFormat/>
    <w:rsid w:val="009710DC"/>
    <w:pPr>
      <w:widowControl w:val="0"/>
      <w:autoSpaceDE w:val="0"/>
      <w:autoSpaceDN w:val="0"/>
      <w:spacing w:after="0"/>
    </w:pPr>
    <w:rPr>
      <w:rFonts w:asciiTheme="minorHAnsi" w:hAnsiTheme="minorHAnsi"/>
      <w:color w:val="auto"/>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710DC"/>
    <w:pPr>
      <w:widowControl w:val="0"/>
      <w:autoSpaceDE w:val="0"/>
      <w:autoSpaceDN w:val="0"/>
      <w:spacing w:after="0" w:line="240" w:lineRule="auto"/>
      <w:jc w:val="left"/>
    </w:pPr>
    <w:rPr>
      <w:rFonts w:ascii="Times New Roman" w:eastAsia="Times New Roman" w:hAnsi="Times New Roman" w:cs="Times New Roman"/>
      <w:lang w:val="pt-PT"/>
    </w:rPr>
  </w:style>
  <w:style w:type="character" w:customStyle="1" w:styleId="Ttulo7Char">
    <w:name w:val="Título 7 Char"/>
    <w:basedOn w:val="Fontepargpadro"/>
    <w:link w:val="Ttulo7"/>
    <w:uiPriority w:val="9"/>
    <w:semiHidden/>
    <w:rsid w:val="0053770F"/>
    <w:rPr>
      <w:rFonts w:asciiTheme="majorHAnsi" w:eastAsiaTheme="majorEastAsia" w:hAnsiTheme="majorHAnsi" w:cstheme="majorBidi"/>
      <w:i/>
      <w:iCs/>
      <w:color w:val="1F3763" w:themeColor="accent1" w:themeShade="7F"/>
    </w:rPr>
  </w:style>
  <w:style w:type="paragraph" w:styleId="Corpodetexto">
    <w:name w:val="Body Text"/>
    <w:basedOn w:val="Normal"/>
    <w:link w:val="CorpodetextoChar"/>
    <w:uiPriority w:val="1"/>
    <w:qFormat/>
    <w:rsid w:val="00814A1F"/>
    <w:pPr>
      <w:widowControl w:val="0"/>
      <w:autoSpaceDE w:val="0"/>
      <w:autoSpaceDN w:val="0"/>
      <w:spacing w:after="0" w:line="240" w:lineRule="auto"/>
      <w:jc w:val="left"/>
    </w:pPr>
    <w:rPr>
      <w:rFonts w:eastAsia="Arial"/>
      <w:lang w:val="pt-PT"/>
    </w:rPr>
  </w:style>
  <w:style w:type="character" w:customStyle="1" w:styleId="CorpodetextoChar">
    <w:name w:val="Corpo de texto Char"/>
    <w:basedOn w:val="Fontepargpadro"/>
    <w:link w:val="Corpodetexto"/>
    <w:uiPriority w:val="1"/>
    <w:rsid w:val="00814A1F"/>
    <w:rPr>
      <w:rFonts w:ascii="Arial" w:eastAsia="Arial" w:hAnsi="Arial" w:cs="Arial"/>
      <w:color w:val="auto"/>
      <w:lang w:val="pt-PT"/>
    </w:rPr>
  </w:style>
  <w:style w:type="paragraph" w:customStyle="1" w:styleId="paragraph">
    <w:name w:val="paragraph"/>
    <w:basedOn w:val="Normal"/>
    <w:rsid w:val="006A793D"/>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6A793D"/>
  </w:style>
  <w:style w:type="character" w:customStyle="1" w:styleId="eop">
    <w:name w:val="eop"/>
    <w:basedOn w:val="Fontepargpadro"/>
    <w:rsid w:val="006A793D"/>
  </w:style>
  <w:style w:type="character" w:customStyle="1" w:styleId="tabchar">
    <w:name w:val="tabchar"/>
    <w:basedOn w:val="Fontepargpadro"/>
    <w:rsid w:val="006A793D"/>
  </w:style>
  <w:style w:type="character" w:styleId="Refdecomentrio">
    <w:name w:val="annotation reference"/>
    <w:basedOn w:val="Fontepargpadro"/>
    <w:uiPriority w:val="99"/>
    <w:semiHidden/>
    <w:unhideWhenUsed/>
    <w:rsid w:val="003C3D56"/>
    <w:rPr>
      <w:sz w:val="16"/>
      <w:szCs w:val="16"/>
    </w:rPr>
  </w:style>
  <w:style w:type="paragraph" w:styleId="Textodecomentrio">
    <w:name w:val="annotation text"/>
    <w:basedOn w:val="Normal"/>
    <w:link w:val="TextodecomentrioChar"/>
    <w:uiPriority w:val="99"/>
    <w:unhideWhenUsed/>
    <w:rsid w:val="003C3D56"/>
    <w:pPr>
      <w:spacing w:line="240" w:lineRule="auto"/>
    </w:pPr>
    <w:rPr>
      <w:sz w:val="20"/>
      <w:szCs w:val="20"/>
    </w:rPr>
  </w:style>
  <w:style w:type="character" w:customStyle="1" w:styleId="TextodecomentrioChar">
    <w:name w:val="Texto de comentário Char"/>
    <w:basedOn w:val="Fontepargpadro"/>
    <w:link w:val="Textodecomentrio"/>
    <w:uiPriority w:val="99"/>
    <w:rsid w:val="003C3D56"/>
    <w:rPr>
      <w:rFonts w:ascii="Arial" w:hAnsi="Arial" w:cs="Arial"/>
      <w:color w:val="auto"/>
      <w:sz w:val="20"/>
      <w:szCs w:val="20"/>
    </w:rPr>
  </w:style>
  <w:style w:type="paragraph" w:styleId="Assuntodocomentrio">
    <w:name w:val="annotation subject"/>
    <w:basedOn w:val="Textodecomentrio"/>
    <w:next w:val="Textodecomentrio"/>
    <w:link w:val="AssuntodocomentrioChar"/>
    <w:uiPriority w:val="99"/>
    <w:semiHidden/>
    <w:unhideWhenUsed/>
    <w:rsid w:val="003C3D56"/>
    <w:rPr>
      <w:b/>
      <w:bCs/>
    </w:rPr>
  </w:style>
  <w:style w:type="character" w:customStyle="1" w:styleId="AssuntodocomentrioChar">
    <w:name w:val="Assunto do comentário Char"/>
    <w:basedOn w:val="TextodecomentrioChar"/>
    <w:link w:val="Assuntodocomentrio"/>
    <w:uiPriority w:val="99"/>
    <w:semiHidden/>
    <w:rsid w:val="003C3D56"/>
    <w:rPr>
      <w:rFonts w:ascii="Arial" w:hAnsi="Arial" w:cs="Arial"/>
      <w:b/>
      <w:bCs/>
      <w:color w:val="auto"/>
      <w:sz w:val="20"/>
      <w:szCs w:val="20"/>
    </w:rPr>
  </w:style>
  <w:style w:type="paragraph" w:styleId="Reviso">
    <w:name w:val="Revision"/>
    <w:hidden/>
    <w:uiPriority w:val="99"/>
    <w:semiHidden/>
    <w:rsid w:val="00F34D3F"/>
    <w:pPr>
      <w:spacing w:after="0"/>
    </w:pPr>
    <w:rPr>
      <w:rFonts w:ascii="Arial" w:hAnsi="Arial" w:cs="Arial"/>
      <w:color w:val="auto"/>
    </w:rPr>
  </w:style>
  <w:style w:type="paragraph" w:styleId="NormalWeb">
    <w:name w:val="Normal (Web)"/>
    <w:basedOn w:val="Normal"/>
    <w:uiPriority w:val="99"/>
    <w:unhideWhenUsed/>
    <w:rsid w:val="00B1684E"/>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1684E"/>
    <w:rPr>
      <w:b/>
      <w:bCs/>
    </w:rPr>
  </w:style>
  <w:style w:type="paragraph" w:customStyle="1" w:styleId="Ttulo2Seo11comttulo">
    <w:name w:val="Título 2 Seção 1.1 com título"/>
    <w:basedOn w:val="Normal"/>
    <w:rsid w:val="00BC5A30"/>
    <w:pPr>
      <w:keepNext/>
      <w:tabs>
        <w:tab w:val="num" w:pos="561"/>
      </w:tabs>
      <w:suppressAutoHyphens/>
      <w:spacing w:after="240" w:line="230" w:lineRule="atLeast"/>
      <w:outlineLvl w:val="1"/>
    </w:pPr>
    <w:rPr>
      <w:rFonts w:eastAsia="Times New Roman" w:cs="Times New Roman"/>
      <w:b/>
      <w:bCs/>
      <w:sz w:val="24"/>
      <w:szCs w:val="26"/>
      <w:lang w:eastAsia="ja-JP"/>
    </w:rPr>
  </w:style>
  <w:style w:type="paragraph" w:customStyle="1" w:styleId="Pargrafo11pt">
    <w:name w:val="Parágrafo 11 pt"/>
    <w:uiPriority w:val="99"/>
    <w:qFormat/>
    <w:rsid w:val="001F6622"/>
    <w:pPr>
      <w:tabs>
        <w:tab w:val="left" w:pos="10773"/>
      </w:tabs>
      <w:spacing w:after="240" w:line="230" w:lineRule="atLeast"/>
      <w:jc w:val="both"/>
    </w:pPr>
    <w:rPr>
      <w:rFonts w:ascii="Arial" w:eastAsia="Times New Roman" w:hAnsi="Arial" w:cs="Times New Roman"/>
      <w:noProof/>
      <w:color w:val="auto"/>
      <w:szCs w:val="24"/>
      <w:lang w:eastAsia="pt-BR"/>
    </w:rPr>
  </w:style>
  <w:style w:type="paragraph" w:customStyle="1" w:styleId="definio11">
    <w:name w:val="definição 1.1"/>
    <w:basedOn w:val="Ttulo2Seo11comttulo"/>
    <w:next w:val="Pargrafo11pt"/>
    <w:rsid w:val="00EE6C34"/>
    <w:pPr>
      <w:spacing w:after="0" w:line="0" w:lineRule="atLeast"/>
    </w:pPr>
    <w:rPr>
      <w:sz w:val="22"/>
    </w:rPr>
  </w:style>
  <w:style w:type="character" w:customStyle="1" w:styleId="LegendaChar">
    <w:name w:val="Legenda Char"/>
    <w:aliases w:val=" Char Char Char Char"/>
    <w:link w:val="Legenda"/>
    <w:rsid w:val="00BD2B60"/>
    <w:rPr>
      <w:rFonts w:ascii="Arial" w:hAnsi="Arial" w:cs="Arial"/>
      <w:i/>
      <w:iCs/>
      <w:color w:val="44546A" w:themeColor="text2"/>
      <w:sz w:val="18"/>
      <w:szCs w:val="18"/>
    </w:rPr>
  </w:style>
  <w:style w:type="paragraph" w:customStyle="1" w:styleId="Prefcio">
    <w:name w:val="Prefácio"/>
    <w:basedOn w:val="Normal"/>
    <w:autoRedefine/>
    <w:rsid w:val="004928F1"/>
    <w:pPr>
      <w:spacing w:before="120" w:after="240" w:line="220" w:lineRule="atLeast"/>
    </w:pPr>
    <w:rPr>
      <w:rFonts w:eastAsia="Times New Roman"/>
      <w:b/>
      <w:noProof/>
      <w:sz w:val="28"/>
      <w:szCs w:val="32"/>
      <w:lang w:eastAsia="pt-BR"/>
    </w:rPr>
  </w:style>
  <w:style w:type="paragraph" w:customStyle="1" w:styleId="Scopettuloitlico">
    <w:name w:val="Scope título itálico"/>
    <w:next w:val="Normal"/>
    <w:rsid w:val="004928F1"/>
    <w:pPr>
      <w:spacing w:before="270" w:after="240" w:line="230" w:lineRule="atLeast"/>
      <w:jc w:val="both"/>
    </w:pPr>
    <w:rPr>
      <w:rFonts w:ascii="Arial" w:eastAsia="Times New Roman" w:hAnsi="Arial" w:cs="Times New Roman"/>
      <w:b/>
      <w:bCs/>
      <w:i/>
      <w:iCs/>
      <w:color w:val="000000"/>
      <w:sz w:val="26"/>
      <w:szCs w:val="24"/>
      <w:lang w:eastAsia="pt-BR"/>
    </w:rPr>
  </w:style>
  <w:style w:type="paragraph" w:customStyle="1" w:styleId="Tpicosdaapresentao">
    <w:name w:val="Tópicos da apresentação"/>
    <w:basedOn w:val="Normal"/>
    <w:rsid w:val="004928F1"/>
    <w:pPr>
      <w:widowControl w:val="0"/>
      <w:numPr>
        <w:numId w:val="7"/>
      </w:numPr>
      <w:spacing w:before="180" w:after="240" w:line="220" w:lineRule="atLeast"/>
    </w:pPr>
    <w:rPr>
      <w:rFonts w:eastAsia="Times New Roman" w:cs="Times New Roman"/>
      <w:noProof/>
      <w:spacing w:val="8"/>
      <w:lang w:eastAsia="pt-BR"/>
    </w:rPr>
  </w:style>
  <w:style w:type="paragraph" w:customStyle="1" w:styleId="Ttulodoprojeto">
    <w:name w:val="Título do projeto"/>
    <w:next w:val="Normal"/>
    <w:rsid w:val="004928F1"/>
    <w:pPr>
      <w:widowControl w:val="0"/>
      <w:spacing w:after="240" w:line="230" w:lineRule="atLeast"/>
    </w:pPr>
    <w:rPr>
      <w:rFonts w:ascii="Arial" w:eastAsia="Times New Roman" w:hAnsi="Arial" w:cs="Times New Roman"/>
      <w:b/>
      <w:color w:val="auto"/>
      <w:sz w:val="28"/>
      <w:szCs w:val="28"/>
      <w:lang w:eastAsia="pt-BR"/>
    </w:rPr>
  </w:style>
  <w:style w:type="paragraph" w:customStyle="1" w:styleId="APRESENTAO">
    <w:name w:val="APRESENTAÇÂO"/>
    <w:basedOn w:val="Normal"/>
    <w:rsid w:val="004928F1"/>
    <w:pPr>
      <w:widowControl w:val="0"/>
      <w:spacing w:after="0" w:line="230" w:lineRule="atLeast"/>
      <w:jc w:val="center"/>
    </w:pPr>
    <w:rPr>
      <w:rFonts w:eastAsia="Times New Roman" w:cs="Times New Roman"/>
      <w:b/>
      <w:bCs/>
      <w:caps/>
      <w:sz w:val="24"/>
      <w:szCs w:val="24"/>
      <w:lang w:eastAsia="pt-BR"/>
    </w:rPr>
  </w:style>
  <w:style w:type="paragraph" w:customStyle="1" w:styleId="Datadareunio">
    <w:name w:val="Data da reunião"/>
    <w:rsid w:val="004928F1"/>
    <w:pPr>
      <w:widowControl w:val="0"/>
      <w:spacing w:before="80" w:after="80"/>
      <w:jc w:val="center"/>
    </w:pPr>
    <w:rPr>
      <w:rFonts w:ascii="Arial" w:eastAsia="Times New Roman" w:hAnsi="Arial" w:cs="Times New Roman"/>
      <w:noProof/>
      <w:color w:val="auto"/>
      <w:spacing w:val="8"/>
      <w:szCs w:val="20"/>
      <w:lang w:eastAsia="pt-BR"/>
    </w:rPr>
  </w:style>
  <w:style w:type="paragraph" w:customStyle="1" w:styleId="TtulodoprojetoemIngls">
    <w:name w:val="Título do projeto em Inglês"/>
    <w:basedOn w:val="Normal"/>
    <w:rsid w:val="004928F1"/>
    <w:pPr>
      <w:widowControl w:val="0"/>
      <w:spacing w:after="0" w:line="230" w:lineRule="atLeast"/>
    </w:pPr>
    <w:rPr>
      <w:rFonts w:eastAsia="Times New Roman" w:cs="Times New Roman"/>
      <w:i/>
      <w:iCs/>
      <w:sz w:val="24"/>
      <w:szCs w:val="20"/>
      <w:lang w:eastAsia="pt-BR"/>
    </w:rPr>
  </w:style>
  <w:style w:type="paragraph" w:customStyle="1" w:styleId="Pargrafo11ptItlico">
    <w:name w:val="Parágrafo 11 pt Itálico"/>
    <w:basedOn w:val="Pargrafo11pt"/>
    <w:rsid w:val="004928F1"/>
    <w:rPr>
      <w:i/>
      <w:iCs/>
    </w:rPr>
  </w:style>
  <w:style w:type="character" w:customStyle="1" w:styleId="fontstyle01">
    <w:name w:val="fontstyle01"/>
    <w:basedOn w:val="Fontepargpadro"/>
    <w:rsid w:val="000E1AD3"/>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6214">
      <w:bodyDiv w:val="1"/>
      <w:marLeft w:val="0"/>
      <w:marRight w:val="0"/>
      <w:marTop w:val="0"/>
      <w:marBottom w:val="0"/>
      <w:divBdr>
        <w:top w:val="none" w:sz="0" w:space="0" w:color="auto"/>
        <w:left w:val="none" w:sz="0" w:space="0" w:color="auto"/>
        <w:bottom w:val="none" w:sz="0" w:space="0" w:color="auto"/>
        <w:right w:val="none" w:sz="0" w:space="0" w:color="auto"/>
      </w:divBdr>
    </w:div>
    <w:div w:id="167869049">
      <w:bodyDiv w:val="1"/>
      <w:marLeft w:val="0"/>
      <w:marRight w:val="0"/>
      <w:marTop w:val="0"/>
      <w:marBottom w:val="0"/>
      <w:divBdr>
        <w:top w:val="none" w:sz="0" w:space="0" w:color="auto"/>
        <w:left w:val="none" w:sz="0" w:space="0" w:color="auto"/>
        <w:bottom w:val="none" w:sz="0" w:space="0" w:color="auto"/>
        <w:right w:val="none" w:sz="0" w:space="0" w:color="auto"/>
      </w:divBdr>
    </w:div>
    <w:div w:id="169368877">
      <w:bodyDiv w:val="1"/>
      <w:marLeft w:val="0"/>
      <w:marRight w:val="0"/>
      <w:marTop w:val="0"/>
      <w:marBottom w:val="0"/>
      <w:divBdr>
        <w:top w:val="none" w:sz="0" w:space="0" w:color="auto"/>
        <w:left w:val="none" w:sz="0" w:space="0" w:color="auto"/>
        <w:bottom w:val="none" w:sz="0" w:space="0" w:color="auto"/>
        <w:right w:val="none" w:sz="0" w:space="0" w:color="auto"/>
      </w:divBdr>
    </w:div>
    <w:div w:id="179324520">
      <w:bodyDiv w:val="1"/>
      <w:marLeft w:val="0"/>
      <w:marRight w:val="0"/>
      <w:marTop w:val="0"/>
      <w:marBottom w:val="0"/>
      <w:divBdr>
        <w:top w:val="none" w:sz="0" w:space="0" w:color="auto"/>
        <w:left w:val="none" w:sz="0" w:space="0" w:color="auto"/>
        <w:bottom w:val="none" w:sz="0" w:space="0" w:color="auto"/>
        <w:right w:val="none" w:sz="0" w:space="0" w:color="auto"/>
      </w:divBdr>
    </w:div>
    <w:div w:id="234895878">
      <w:bodyDiv w:val="1"/>
      <w:marLeft w:val="0"/>
      <w:marRight w:val="0"/>
      <w:marTop w:val="0"/>
      <w:marBottom w:val="0"/>
      <w:divBdr>
        <w:top w:val="none" w:sz="0" w:space="0" w:color="auto"/>
        <w:left w:val="none" w:sz="0" w:space="0" w:color="auto"/>
        <w:bottom w:val="none" w:sz="0" w:space="0" w:color="auto"/>
        <w:right w:val="none" w:sz="0" w:space="0" w:color="auto"/>
      </w:divBdr>
    </w:div>
    <w:div w:id="297148083">
      <w:bodyDiv w:val="1"/>
      <w:marLeft w:val="0"/>
      <w:marRight w:val="0"/>
      <w:marTop w:val="0"/>
      <w:marBottom w:val="0"/>
      <w:divBdr>
        <w:top w:val="none" w:sz="0" w:space="0" w:color="auto"/>
        <w:left w:val="none" w:sz="0" w:space="0" w:color="auto"/>
        <w:bottom w:val="none" w:sz="0" w:space="0" w:color="auto"/>
        <w:right w:val="none" w:sz="0" w:space="0" w:color="auto"/>
      </w:divBdr>
    </w:div>
    <w:div w:id="381293414">
      <w:bodyDiv w:val="1"/>
      <w:marLeft w:val="0"/>
      <w:marRight w:val="0"/>
      <w:marTop w:val="0"/>
      <w:marBottom w:val="0"/>
      <w:divBdr>
        <w:top w:val="none" w:sz="0" w:space="0" w:color="auto"/>
        <w:left w:val="none" w:sz="0" w:space="0" w:color="auto"/>
        <w:bottom w:val="none" w:sz="0" w:space="0" w:color="auto"/>
        <w:right w:val="none" w:sz="0" w:space="0" w:color="auto"/>
      </w:divBdr>
    </w:div>
    <w:div w:id="409501273">
      <w:bodyDiv w:val="1"/>
      <w:marLeft w:val="0"/>
      <w:marRight w:val="0"/>
      <w:marTop w:val="0"/>
      <w:marBottom w:val="0"/>
      <w:divBdr>
        <w:top w:val="none" w:sz="0" w:space="0" w:color="auto"/>
        <w:left w:val="none" w:sz="0" w:space="0" w:color="auto"/>
        <w:bottom w:val="none" w:sz="0" w:space="0" w:color="auto"/>
        <w:right w:val="none" w:sz="0" w:space="0" w:color="auto"/>
      </w:divBdr>
    </w:div>
    <w:div w:id="416903512">
      <w:bodyDiv w:val="1"/>
      <w:marLeft w:val="0"/>
      <w:marRight w:val="0"/>
      <w:marTop w:val="0"/>
      <w:marBottom w:val="0"/>
      <w:divBdr>
        <w:top w:val="none" w:sz="0" w:space="0" w:color="auto"/>
        <w:left w:val="none" w:sz="0" w:space="0" w:color="auto"/>
        <w:bottom w:val="none" w:sz="0" w:space="0" w:color="auto"/>
        <w:right w:val="none" w:sz="0" w:space="0" w:color="auto"/>
      </w:divBdr>
    </w:div>
    <w:div w:id="453988307">
      <w:bodyDiv w:val="1"/>
      <w:marLeft w:val="0"/>
      <w:marRight w:val="0"/>
      <w:marTop w:val="0"/>
      <w:marBottom w:val="0"/>
      <w:divBdr>
        <w:top w:val="none" w:sz="0" w:space="0" w:color="auto"/>
        <w:left w:val="none" w:sz="0" w:space="0" w:color="auto"/>
        <w:bottom w:val="none" w:sz="0" w:space="0" w:color="auto"/>
        <w:right w:val="none" w:sz="0" w:space="0" w:color="auto"/>
      </w:divBdr>
    </w:div>
    <w:div w:id="471286756">
      <w:bodyDiv w:val="1"/>
      <w:marLeft w:val="0"/>
      <w:marRight w:val="0"/>
      <w:marTop w:val="0"/>
      <w:marBottom w:val="0"/>
      <w:divBdr>
        <w:top w:val="none" w:sz="0" w:space="0" w:color="auto"/>
        <w:left w:val="none" w:sz="0" w:space="0" w:color="auto"/>
        <w:bottom w:val="none" w:sz="0" w:space="0" w:color="auto"/>
        <w:right w:val="none" w:sz="0" w:space="0" w:color="auto"/>
      </w:divBdr>
    </w:div>
    <w:div w:id="506212372">
      <w:bodyDiv w:val="1"/>
      <w:marLeft w:val="0"/>
      <w:marRight w:val="0"/>
      <w:marTop w:val="0"/>
      <w:marBottom w:val="0"/>
      <w:divBdr>
        <w:top w:val="none" w:sz="0" w:space="0" w:color="auto"/>
        <w:left w:val="none" w:sz="0" w:space="0" w:color="auto"/>
        <w:bottom w:val="none" w:sz="0" w:space="0" w:color="auto"/>
        <w:right w:val="none" w:sz="0" w:space="0" w:color="auto"/>
      </w:divBdr>
    </w:div>
    <w:div w:id="513300337">
      <w:bodyDiv w:val="1"/>
      <w:marLeft w:val="0"/>
      <w:marRight w:val="0"/>
      <w:marTop w:val="0"/>
      <w:marBottom w:val="0"/>
      <w:divBdr>
        <w:top w:val="none" w:sz="0" w:space="0" w:color="auto"/>
        <w:left w:val="none" w:sz="0" w:space="0" w:color="auto"/>
        <w:bottom w:val="none" w:sz="0" w:space="0" w:color="auto"/>
        <w:right w:val="none" w:sz="0" w:space="0" w:color="auto"/>
      </w:divBdr>
    </w:div>
    <w:div w:id="583074531">
      <w:bodyDiv w:val="1"/>
      <w:marLeft w:val="0"/>
      <w:marRight w:val="0"/>
      <w:marTop w:val="0"/>
      <w:marBottom w:val="0"/>
      <w:divBdr>
        <w:top w:val="none" w:sz="0" w:space="0" w:color="auto"/>
        <w:left w:val="none" w:sz="0" w:space="0" w:color="auto"/>
        <w:bottom w:val="none" w:sz="0" w:space="0" w:color="auto"/>
        <w:right w:val="none" w:sz="0" w:space="0" w:color="auto"/>
      </w:divBdr>
    </w:div>
    <w:div w:id="650137407">
      <w:bodyDiv w:val="1"/>
      <w:marLeft w:val="0"/>
      <w:marRight w:val="0"/>
      <w:marTop w:val="0"/>
      <w:marBottom w:val="0"/>
      <w:divBdr>
        <w:top w:val="none" w:sz="0" w:space="0" w:color="auto"/>
        <w:left w:val="none" w:sz="0" w:space="0" w:color="auto"/>
        <w:bottom w:val="none" w:sz="0" w:space="0" w:color="auto"/>
        <w:right w:val="none" w:sz="0" w:space="0" w:color="auto"/>
      </w:divBdr>
    </w:div>
    <w:div w:id="748356374">
      <w:bodyDiv w:val="1"/>
      <w:marLeft w:val="0"/>
      <w:marRight w:val="0"/>
      <w:marTop w:val="0"/>
      <w:marBottom w:val="0"/>
      <w:divBdr>
        <w:top w:val="none" w:sz="0" w:space="0" w:color="auto"/>
        <w:left w:val="none" w:sz="0" w:space="0" w:color="auto"/>
        <w:bottom w:val="none" w:sz="0" w:space="0" w:color="auto"/>
        <w:right w:val="none" w:sz="0" w:space="0" w:color="auto"/>
      </w:divBdr>
    </w:div>
    <w:div w:id="764766501">
      <w:bodyDiv w:val="1"/>
      <w:marLeft w:val="0"/>
      <w:marRight w:val="0"/>
      <w:marTop w:val="0"/>
      <w:marBottom w:val="0"/>
      <w:divBdr>
        <w:top w:val="none" w:sz="0" w:space="0" w:color="auto"/>
        <w:left w:val="none" w:sz="0" w:space="0" w:color="auto"/>
        <w:bottom w:val="none" w:sz="0" w:space="0" w:color="auto"/>
        <w:right w:val="none" w:sz="0" w:space="0" w:color="auto"/>
      </w:divBdr>
    </w:div>
    <w:div w:id="778793802">
      <w:bodyDiv w:val="1"/>
      <w:marLeft w:val="0"/>
      <w:marRight w:val="0"/>
      <w:marTop w:val="0"/>
      <w:marBottom w:val="0"/>
      <w:divBdr>
        <w:top w:val="none" w:sz="0" w:space="0" w:color="auto"/>
        <w:left w:val="none" w:sz="0" w:space="0" w:color="auto"/>
        <w:bottom w:val="none" w:sz="0" w:space="0" w:color="auto"/>
        <w:right w:val="none" w:sz="0" w:space="0" w:color="auto"/>
      </w:divBdr>
    </w:div>
    <w:div w:id="929044942">
      <w:bodyDiv w:val="1"/>
      <w:marLeft w:val="0"/>
      <w:marRight w:val="0"/>
      <w:marTop w:val="0"/>
      <w:marBottom w:val="0"/>
      <w:divBdr>
        <w:top w:val="none" w:sz="0" w:space="0" w:color="auto"/>
        <w:left w:val="none" w:sz="0" w:space="0" w:color="auto"/>
        <w:bottom w:val="none" w:sz="0" w:space="0" w:color="auto"/>
        <w:right w:val="none" w:sz="0" w:space="0" w:color="auto"/>
      </w:divBdr>
    </w:div>
    <w:div w:id="930701682">
      <w:bodyDiv w:val="1"/>
      <w:marLeft w:val="0"/>
      <w:marRight w:val="0"/>
      <w:marTop w:val="0"/>
      <w:marBottom w:val="0"/>
      <w:divBdr>
        <w:top w:val="none" w:sz="0" w:space="0" w:color="auto"/>
        <w:left w:val="none" w:sz="0" w:space="0" w:color="auto"/>
        <w:bottom w:val="none" w:sz="0" w:space="0" w:color="auto"/>
        <w:right w:val="none" w:sz="0" w:space="0" w:color="auto"/>
      </w:divBdr>
    </w:div>
    <w:div w:id="1109734586">
      <w:bodyDiv w:val="1"/>
      <w:marLeft w:val="0"/>
      <w:marRight w:val="0"/>
      <w:marTop w:val="0"/>
      <w:marBottom w:val="0"/>
      <w:divBdr>
        <w:top w:val="none" w:sz="0" w:space="0" w:color="auto"/>
        <w:left w:val="none" w:sz="0" w:space="0" w:color="auto"/>
        <w:bottom w:val="none" w:sz="0" w:space="0" w:color="auto"/>
        <w:right w:val="none" w:sz="0" w:space="0" w:color="auto"/>
      </w:divBdr>
    </w:div>
    <w:div w:id="1121459184">
      <w:bodyDiv w:val="1"/>
      <w:marLeft w:val="0"/>
      <w:marRight w:val="0"/>
      <w:marTop w:val="0"/>
      <w:marBottom w:val="0"/>
      <w:divBdr>
        <w:top w:val="none" w:sz="0" w:space="0" w:color="auto"/>
        <w:left w:val="none" w:sz="0" w:space="0" w:color="auto"/>
        <w:bottom w:val="none" w:sz="0" w:space="0" w:color="auto"/>
        <w:right w:val="none" w:sz="0" w:space="0" w:color="auto"/>
      </w:divBdr>
    </w:div>
    <w:div w:id="1188181141">
      <w:bodyDiv w:val="1"/>
      <w:marLeft w:val="0"/>
      <w:marRight w:val="0"/>
      <w:marTop w:val="0"/>
      <w:marBottom w:val="0"/>
      <w:divBdr>
        <w:top w:val="none" w:sz="0" w:space="0" w:color="auto"/>
        <w:left w:val="none" w:sz="0" w:space="0" w:color="auto"/>
        <w:bottom w:val="none" w:sz="0" w:space="0" w:color="auto"/>
        <w:right w:val="none" w:sz="0" w:space="0" w:color="auto"/>
      </w:divBdr>
    </w:div>
    <w:div w:id="1401363444">
      <w:bodyDiv w:val="1"/>
      <w:marLeft w:val="0"/>
      <w:marRight w:val="0"/>
      <w:marTop w:val="0"/>
      <w:marBottom w:val="0"/>
      <w:divBdr>
        <w:top w:val="none" w:sz="0" w:space="0" w:color="auto"/>
        <w:left w:val="none" w:sz="0" w:space="0" w:color="auto"/>
        <w:bottom w:val="none" w:sz="0" w:space="0" w:color="auto"/>
        <w:right w:val="none" w:sz="0" w:space="0" w:color="auto"/>
      </w:divBdr>
    </w:div>
    <w:div w:id="1415930411">
      <w:bodyDiv w:val="1"/>
      <w:marLeft w:val="0"/>
      <w:marRight w:val="0"/>
      <w:marTop w:val="0"/>
      <w:marBottom w:val="0"/>
      <w:divBdr>
        <w:top w:val="none" w:sz="0" w:space="0" w:color="auto"/>
        <w:left w:val="none" w:sz="0" w:space="0" w:color="auto"/>
        <w:bottom w:val="none" w:sz="0" w:space="0" w:color="auto"/>
        <w:right w:val="none" w:sz="0" w:space="0" w:color="auto"/>
      </w:divBdr>
    </w:div>
    <w:div w:id="1451315675">
      <w:bodyDiv w:val="1"/>
      <w:marLeft w:val="0"/>
      <w:marRight w:val="0"/>
      <w:marTop w:val="0"/>
      <w:marBottom w:val="0"/>
      <w:divBdr>
        <w:top w:val="none" w:sz="0" w:space="0" w:color="auto"/>
        <w:left w:val="none" w:sz="0" w:space="0" w:color="auto"/>
        <w:bottom w:val="none" w:sz="0" w:space="0" w:color="auto"/>
        <w:right w:val="none" w:sz="0" w:space="0" w:color="auto"/>
      </w:divBdr>
    </w:div>
    <w:div w:id="1584101701">
      <w:bodyDiv w:val="1"/>
      <w:marLeft w:val="0"/>
      <w:marRight w:val="0"/>
      <w:marTop w:val="0"/>
      <w:marBottom w:val="0"/>
      <w:divBdr>
        <w:top w:val="none" w:sz="0" w:space="0" w:color="auto"/>
        <w:left w:val="none" w:sz="0" w:space="0" w:color="auto"/>
        <w:bottom w:val="none" w:sz="0" w:space="0" w:color="auto"/>
        <w:right w:val="none" w:sz="0" w:space="0" w:color="auto"/>
      </w:divBdr>
    </w:div>
    <w:div w:id="1599172494">
      <w:bodyDiv w:val="1"/>
      <w:marLeft w:val="0"/>
      <w:marRight w:val="0"/>
      <w:marTop w:val="0"/>
      <w:marBottom w:val="0"/>
      <w:divBdr>
        <w:top w:val="none" w:sz="0" w:space="0" w:color="auto"/>
        <w:left w:val="none" w:sz="0" w:space="0" w:color="auto"/>
        <w:bottom w:val="none" w:sz="0" w:space="0" w:color="auto"/>
        <w:right w:val="none" w:sz="0" w:space="0" w:color="auto"/>
      </w:divBdr>
    </w:div>
    <w:div w:id="1663579527">
      <w:bodyDiv w:val="1"/>
      <w:marLeft w:val="0"/>
      <w:marRight w:val="0"/>
      <w:marTop w:val="0"/>
      <w:marBottom w:val="0"/>
      <w:divBdr>
        <w:top w:val="none" w:sz="0" w:space="0" w:color="auto"/>
        <w:left w:val="none" w:sz="0" w:space="0" w:color="auto"/>
        <w:bottom w:val="none" w:sz="0" w:space="0" w:color="auto"/>
        <w:right w:val="none" w:sz="0" w:space="0" w:color="auto"/>
      </w:divBdr>
    </w:div>
    <w:div w:id="1737587414">
      <w:bodyDiv w:val="1"/>
      <w:marLeft w:val="0"/>
      <w:marRight w:val="0"/>
      <w:marTop w:val="0"/>
      <w:marBottom w:val="0"/>
      <w:divBdr>
        <w:top w:val="none" w:sz="0" w:space="0" w:color="auto"/>
        <w:left w:val="none" w:sz="0" w:space="0" w:color="auto"/>
        <w:bottom w:val="none" w:sz="0" w:space="0" w:color="auto"/>
        <w:right w:val="none" w:sz="0" w:space="0" w:color="auto"/>
      </w:divBdr>
    </w:div>
    <w:div w:id="1743061247">
      <w:bodyDiv w:val="1"/>
      <w:marLeft w:val="0"/>
      <w:marRight w:val="0"/>
      <w:marTop w:val="0"/>
      <w:marBottom w:val="0"/>
      <w:divBdr>
        <w:top w:val="none" w:sz="0" w:space="0" w:color="auto"/>
        <w:left w:val="none" w:sz="0" w:space="0" w:color="auto"/>
        <w:bottom w:val="none" w:sz="0" w:space="0" w:color="auto"/>
        <w:right w:val="none" w:sz="0" w:space="0" w:color="auto"/>
      </w:divBdr>
    </w:div>
    <w:div w:id="1819881044">
      <w:bodyDiv w:val="1"/>
      <w:marLeft w:val="0"/>
      <w:marRight w:val="0"/>
      <w:marTop w:val="0"/>
      <w:marBottom w:val="0"/>
      <w:divBdr>
        <w:top w:val="none" w:sz="0" w:space="0" w:color="auto"/>
        <w:left w:val="none" w:sz="0" w:space="0" w:color="auto"/>
        <w:bottom w:val="none" w:sz="0" w:space="0" w:color="auto"/>
        <w:right w:val="none" w:sz="0" w:space="0" w:color="auto"/>
      </w:divBdr>
    </w:div>
    <w:div w:id="1881166086">
      <w:bodyDiv w:val="1"/>
      <w:marLeft w:val="0"/>
      <w:marRight w:val="0"/>
      <w:marTop w:val="0"/>
      <w:marBottom w:val="0"/>
      <w:divBdr>
        <w:top w:val="none" w:sz="0" w:space="0" w:color="auto"/>
        <w:left w:val="none" w:sz="0" w:space="0" w:color="auto"/>
        <w:bottom w:val="none" w:sz="0" w:space="0" w:color="auto"/>
        <w:right w:val="none" w:sz="0" w:space="0" w:color="auto"/>
      </w:divBdr>
    </w:div>
    <w:div w:id="1900092131">
      <w:bodyDiv w:val="1"/>
      <w:marLeft w:val="0"/>
      <w:marRight w:val="0"/>
      <w:marTop w:val="0"/>
      <w:marBottom w:val="0"/>
      <w:divBdr>
        <w:top w:val="none" w:sz="0" w:space="0" w:color="auto"/>
        <w:left w:val="none" w:sz="0" w:space="0" w:color="auto"/>
        <w:bottom w:val="none" w:sz="0" w:space="0" w:color="auto"/>
        <w:right w:val="none" w:sz="0" w:space="0" w:color="auto"/>
      </w:divBdr>
    </w:div>
    <w:div w:id="1921941437">
      <w:bodyDiv w:val="1"/>
      <w:marLeft w:val="0"/>
      <w:marRight w:val="0"/>
      <w:marTop w:val="0"/>
      <w:marBottom w:val="0"/>
      <w:divBdr>
        <w:top w:val="none" w:sz="0" w:space="0" w:color="auto"/>
        <w:left w:val="none" w:sz="0" w:space="0" w:color="auto"/>
        <w:bottom w:val="none" w:sz="0" w:space="0" w:color="auto"/>
        <w:right w:val="none" w:sz="0" w:space="0" w:color="auto"/>
      </w:divBdr>
    </w:div>
    <w:div w:id="200851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CC883-9CDF-4FAC-963B-26CBA8655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1575</TotalTime>
  <Pages>19</Pages>
  <Words>4647</Words>
  <Characters>25094</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Cesar Maia Daudt</dc:creator>
  <cp:keywords/>
  <dc:description/>
  <cp:lastModifiedBy>Bruno Frasson</cp:lastModifiedBy>
  <cp:revision>254</cp:revision>
  <cp:lastPrinted>2025-06-23T11:22:00Z</cp:lastPrinted>
  <dcterms:created xsi:type="dcterms:W3CDTF">2025-03-17T12:41:00Z</dcterms:created>
  <dcterms:modified xsi:type="dcterms:W3CDTF">2025-06-27T13:55:00Z</dcterms:modified>
</cp:coreProperties>
</file>